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tabs>
          <w:tab w:val="left" w:pos="709" w:leader="none"/>
        </w:tabs>
        <w:spacing w:lineRule="auto" w:line="360"/>
        <w:jc w:val="center"/>
        <w:rPr>
          <w:rFonts w:ascii="Times New Roman" w:hAnsi="Times New Roman"/>
          <w:b/>
          <w:b/>
          <w:sz w:val="32"/>
          <w:highlight w:val="white"/>
        </w:rPr>
      </w:pPr>
      <w:r>
        <w:rPr>
          <w:rFonts w:ascii="Times New Roman" w:hAnsi="Times New Roman"/>
          <w:b/>
          <w:sz w:val="32"/>
          <w:highlight w:val="white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2981325</wp:posOffset>
            </wp:positionH>
            <wp:positionV relativeFrom="paragraph">
              <wp:posOffset>635</wp:posOffset>
            </wp:positionV>
            <wp:extent cx="409575" cy="514350"/>
            <wp:effectExtent l="0" t="0" r="0" b="0"/>
            <wp:wrapSquare wrapText="bothSides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8" t="-135" r="-168" b="-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keepNext w:val="true"/>
        <w:tabs>
          <w:tab w:val="left" w:pos="709" w:leader="none"/>
        </w:tabs>
        <w:spacing w:lineRule="auto" w:line="360"/>
        <w:jc w:val="center"/>
        <w:rPr>
          <w:rFonts w:ascii="Times New Roman" w:hAnsi="Times New Roman"/>
          <w:b/>
          <w:b/>
          <w:sz w:val="32"/>
          <w:highlight w:val="white"/>
        </w:rPr>
      </w:pPr>
      <w:r>
        <w:rPr>
          <w:rFonts w:ascii="Times New Roman" w:hAnsi="Times New Roman"/>
          <w:b/>
          <w:sz w:val="32"/>
          <w:highlight w:val="white"/>
        </w:rPr>
      </w:r>
    </w:p>
    <w:p>
      <w:pPr>
        <w:pStyle w:val="Normal"/>
        <w:keepNext w:val="true"/>
        <w:spacing w:lineRule="atLeast" w:line="0"/>
        <w:jc w:val="center"/>
        <w:rPr>
          <w:rFonts w:ascii="Times New Roman" w:hAnsi="Times New Roman"/>
          <w:b/>
          <w:b/>
          <w:highlight w:val="white"/>
        </w:rPr>
      </w:pPr>
      <w:r>
        <w:rPr>
          <w:rFonts w:ascii="Times New Roman" w:hAnsi="Times New Roman"/>
          <w:b/>
          <w:sz w:val="36"/>
          <w:szCs w:val="36"/>
          <w:highlight w:val="white"/>
        </w:rPr>
        <w:t>ДУМА САНДОВСКОГО МУНИЦИПАЛЬНОГО ОКРУГА</w:t>
      </w:r>
    </w:p>
    <w:p>
      <w:pPr>
        <w:pStyle w:val="Normal"/>
        <w:keepNext w:val="true"/>
        <w:tabs>
          <w:tab w:val="left" w:pos="709" w:leader="none"/>
        </w:tabs>
        <w:spacing w:lineRule="atLeast" w:line="0"/>
        <w:jc w:val="center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b w:val="false"/>
          <w:bCs w:val="false"/>
          <w:sz w:val="28"/>
          <w:szCs w:val="28"/>
          <w:highlight w:val="white"/>
        </w:rPr>
        <w:t>Тверской области</w:t>
      </w:r>
    </w:p>
    <w:p>
      <w:pPr>
        <w:pStyle w:val="Normal"/>
        <w:keepNext w:val="true"/>
        <w:tabs>
          <w:tab w:val="left" w:pos="709" w:leader="none"/>
        </w:tabs>
        <w:spacing w:lineRule="atLeast" w:line="0"/>
        <w:jc w:val="center"/>
        <w:rPr>
          <w:rFonts w:ascii="Times New Roman" w:hAnsi="Times New Roman"/>
          <w:b/>
          <w:b/>
          <w:highlight w:val="white"/>
        </w:rPr>
      </w:pPr>
      <w:r>
        <w:rPr>
          <w:rFonts w:ascii="Times New Roman" w:hAnsi="Times New Roman"/>
          <w:b/>
          <w:sz w:val="36"/>
          <w:szCs w:val="36"/>
          <w:highlight w:val="white"/>
        </w:rPr>
        <w:t>РЕШЕНИЕ</w:t>
      </w:r>
    </w:p>
    <w:p>
      <w:pPr>
        <w:pStyle w:val="Normal"/>
        <w:spacing w:lineRule="atLeast" w:line="0"/>
        <w:rPr/>
      </w:pPr>
      <w:r>
        <w:rPr>
          <w:rFonts w:ascii="Times New Roman" w:hAnsi="Times New Roman"/>
          <w:sz w:val="28"/>
          <w:lang w:val="en-US"/>
        </w:rPr>
        <w:t>21.02</w:t>
      </w:r>
      <w:r>
        <w:rPr>
          <w:rFonts w:ascii="Times New Roman" w:hAnsi="Times New Roman"/>
          <w:sz w:val="28"/>
        </w:rPr>
        <w:t>.202</w:t>
      </w:r>
      <w:r>
        <w:rPr>
          <w:rFonts w:ascii="Times New Roman" w:hAnsi="Times New Roman"/>
          <w:sz w:val="28"/>
          <w:lang w:val="en-US"/>
        </w:rPr>
        <w:t>3</w:t>
      </w:r>
      <w:r>
        <w:rPr>
          <w:rFonts w:ascii="Times New Roman" w:hAnsi="Times New Roman"/>
          <w:sz w:val="28"/>
        </w:rPr>
        <w:t xml:space="preserve">                               </w:t>
        <w:tab/>
        <w:t xml:space="preserve">          пгт. Сандово                                                   </w:t>
      </w:r>
      <w:r>
        <w:rPr>
          <w:rFonts w:ascii="Times New Roman" w:hAnsi="Times New Roman"/>
          <w:color w:val="000000"/>
          <w:sz w:val="28"/>
        </w:rPr>
        <w:t xml:space="preserve">№ </w:t>
      </w:r>
      <w:r>
        <w:rPr>
          <w:rFonts w:ascii="Times New Roman" w:hAnsi="Times New Roman"/>
          <w:color w:val="000000"/>
          <w:sz w:val="24"/>
          <w:lang w:val="en-US"/>
        </w:rPr>
        <w:t>6</w:t>
      </w:r>
    </w:p>
    <w:p>
      <w:pPr>
        <w:pStyle w:val="Style19"/>
        <w:spacing w:lineRule="atLeast" w:line="0"/>
        <w:rPr>
          <w:sz w:val="24"/>
        </w:rPr>
      </w:pPr>
      <w:r>
        <w:rPr>
          <w:sz w:val="24"/>
        </w:rPr>
      </w:r>
    </w:p>
    <w:p>
      <w:pPr>
        <w:pStyle w:val="Normal"/>
        <w:spacing w:lineRule="atLeast" w: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Web1"/>
        <w:spacing w:lineRule="atLeast" w:line="220" w:before="0" w:after="0"/>
        <w:jc w:val="both"/>
        <w:rPr>
          <w:b w:val="false"/>
          <w:b w:val="false"/>
          <w:color w:val="3C3C3C"/>
          <w:sz w:val="28"/>
        </w:rPr>
      </w:pPr>
      <w:r>
        <w:rPr>
          <w:b w:val="false"/>
          <w:color w:val="3C3C3C"/>
          <w:sz w:val="28"/>
        </w:rPr>
        <w:t xml:space="preserve">Об утверждении Правил и Порядка определения </w:t>
      </w:r>
    </w:p>
    <w:p>
      <w:pPr>
        <w:pStyle w:val="NormalWeb1"/>
        <w:spacing w:lineRule="atLeast" w:line="220" w:before="0" w:after="0"/>
        <w:jc w:val="both"/>
        <w:rPr>
          <w:b w:val="false"/>
          <w:b w:val="false"/>
          <w:color w:val="3C3C3C"/>
          <w:sz w:val="28"/>
        </w:rPr>
      </w:pPr>
      <w:r>
        <w:rPr>
          <w:b w:val="false"/>
          <w:color w:val="3C3C3C"/>
          <w:sz w:val="28"/>
        </w:rPr>
        <w:t xml:space="preserve">размера начальной цены предмета аукциона на право </w:t>
      </w:r>
    </w:p>
    <w:p>
      <w:pPr>
        <w:pStyle w:val="NormalWeb1"/>
        <w:spacing w:lineRule="atLeast" w:line="220" w:before="0" w:after="0"/>
        <w:jc w:val="left"/>
        <w:rPr/>
      </w:pPr>
      <w:r>
        <w:rPr>
          <w:b w:val="false"/>
          <w:color w:val="3C3C3C"/>
          <w:sz w:val="28"/>
        </w:rPr>
        <w:t>заключения договоров аренды земельных участков</w:t>
      </w:r>
      <w:r>
        <w:rPr>
          <w:b/>
          <w:color w:val="3C3C3C"/>
          <w:sz w:val="28"/>
        </w:rPr>
        <w:br/>
      </w:r>
    </w:p>
    <w:p>
      <w:pPr>
        <w:pStyle w:val="Normal"/>
        <w:spacing w:lineRule="atLeast" w: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3C3C3C"/>
          <w:sz w:val="28"/>
        </w:rPr>
        <w:tab/>
        <w:t xml:space="preserve">В соответствии со статьей 39.11 Земельного кодекса Российской Федерации, </w:t>
      </w:r>
      <w:r>
        <w:rPr>
          <w:rFonts w:ascii="Times New Roman" w:hAnsi="Times New Roman"/>
          <w:sz w:val="28"/>
        </w:rPr>
        <w:t>Дума Сандовского муниципального округа</w:t>
      </w:r>
    </w:p>
    <w:p>
      <w:pPr>
        <w:pStyle w:val="Normal"/>
        <w:ind w:left="0" w:right="0" w:firstLine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>
          <w:sz w:val="28"/>
        </w:rPr>
      </w:pPr>
      <w:r>
        <w:rPr>
          <w:rFonts w:ascii="Times New Roman" w:hAnsi="Times New Roman"/>
          <w:sz w:val="28"/>
        </w:rPr>
        <w:t>РЕШИЛА: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br/>
        <w:tab/>
        <w:t>1.Утвердить:</w:t>
        <w:br/>
        <w:tab/>
        <w:t>1.1.Правила определения начальной цены предмета аукциона на право заключения договоров аренды земельных участков (Приложение № 1).</w:t>
        <w:br/>
        <w:tab/>
        <w:t>1.2.Порядок определения ра</w:t>
      </w:r>
      <w:r>
        <w:rPr>
          <w:rFonts w:ascii="Times New Roman" w:hAnsi="Times New Roman"/>
          <w:sz w:val="28"/>
          <w:szCs w:val="28"/>
        </w:rPr>
        <w:t>змера начальной цены предмета аукциона на право заключения договоров аренды земельных участков (Приложение № 2).</w:t>
        <w:br/>
        <w:tab/>
        <w:t>2.Решение Думы Сандовского муниципального округа от 16.02.2021 № 103 «Об утверждении Правил определения начальной цены предмета аукциона на право заключения договоров аренды земельных участков и Порядка определения размера начальной цены предмета аукциона на право заключения договоров аренды земельных участков» признать утратившим силу.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3.Настоящее решение вступает в силу со дня подписания и подлежит   официальному опубликованию и размещению на официальном сайте  Сандовского муниципального округа в сети "Интернет".</w:t>
      </w:r>
    </w:p>
    <w:p>
      <w:pPr>
        <w:pStyle w:val="NormalWeb1"/>
        <w:spacing w:before="0" w:after="150"/>
        <w:jc w:val="both"/>
        <w:rPr>
          <w:sz w:val="28"/>
        </w:rPr>
      </w:pPr>
      <w:r>
        <w:rPr>
          <w:sz w:val="28"/>
        </w:rPr>
        <w:br/>
      </w:r>
    </w:p>
    <w:p>
      <w:pPr>
        <w:pStyle w:val="Normal"/>
        <w:spacing w:lineRule="atLeast" w:line="0"/>
        <w:ind w:left="0" w:righ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tLeast" w: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widowControl w:val="false"/>
        <w:suppressAutoHyphens w:val="true"/>
        <w:spacing w:lineRule="atLeast" w:line="0" w:before="0" w:after="0"/>
        <w:ind w:left="0" w:right="0" w:hanging="0"/>
        <w:jc w:val="left"/>
        <w:rPr>
          <w:color w:val="000000"/>
          <w:spacing w:val="0"/>
          <w:kern w:val="0"/>
          <w:sz w:val="28"/>
          <w:szCs w:val="20"/>
        </w:rPr>
      </w:pPr>
      <w:r>
        <w:rPr>
          <w:rFonts w:ascii="Times New Roman" w:hAnsi="Times New Roman"/>
          <w:color w:val="000000"/>
          <w:spacing w:val="0"/>
          <w:kern w:val="0"/>
          <w:sz w:val="28"/>
          <w:szCs w:val="20"/>
        </w:rPr>
        <w:t>Председатель Думы</w:t>
      </w:r>
    </w:p>
    <w:p>
      <w:pPr>
        <w:pStyle w:val="Normal"/>
        <w:widowControl w:val="false"/>
        <w:suppressAutoHyphens w:val="true"/>
        <w:spacing w:lineRule="atLeast" w:line="0" w:before="0" w:after="0"/>
        <w:ind w:left="0" w:right="0" w:hanging="0"/>
        <w:jc w:val="left"/>
        <w:rPr>
          <w:color w:val="000000"/>
          <w:spacing w:val="0"/>
          <w:kern w:val="0"/>
          <w:sz w:val="28"/>
          <w:szCs w:val="20"/>
        </w:rPr>
      </w:pPr>
      <w:r>
        <w:rPr>
          <w:rFonts w:ascii="Times New Roman" w:hAnsi="Times New Roman"/>
          <w:color w:val="000000"/>
          <w:spacing w:val="0"/>
          <w:kern w:val="0"/>
          <w:sz w:val="28"/>
          <w:szCs w:val="20"/>
        </w:rPr>
        <w:t>Сандовского муниципального округа                                             О.В. Смирнова</w:t>
      </w:r>
    </w:p>
    <w:p>
      <w:pPr>
        <w:pStyle w:val="Normal"/>
        <w:widowControl w:val="false"/>
        <w:suppressAutoHyphens w:val="true"/>
        <w:spacing w:lineRule="atLeast" w:line="0" w:before="0" w:after="0"/>
        <w:ind w:left="0" w:right="0" w:hanging="0"/>
        <w:jc w:val="left"/>
        <w:rPr>
          <w:color w:val="000000"/>
          <w:spacing w:val="0"/>
          <w:kern w:val="0"/>
          <w:sz w:val="28"/>
          <w:szCs w:val="20"/>
        </w:rPr>
      </w:pPr>
      <w:r>
        <w:rPr/>
      </w:r>
    </w:p>
    <w:p>
      <w:pPr>
        <w:pStyle w:val="Normal"/>
        <w:widowControl w:val="false"/>
        <w:suppressAutoHyphens w:val="true"/>
        <w:spacing w:lineRule="atLeast" w:line="0" w:before="0" w:after="0"/>
        <w:ind w:left="0" w:right="0" w:hanging="0"/>
        <w:jc w:val="left"/>
        <w:rPr>
          <w:color w:val="000000"/>
          <w:spacing w:val="0"/>
          <w:kern w:val="0"/>
          <w:sz w:val="28"/>
          <w:szCs w:val="20"/>
        </w:rPr>
      </w:pPr>
      <w:r>
        <w:rPr/>
      </w:r>
    </w:p>
    <w:p>
      <w:pPr>
        <w:pStyle w:val="Normal"/>
        <w:widowControl w:val="false"/>
        <w:suppressAutoHyphens w:val="true"/>
        <w:spacing w:lineRule="atLeast" w:line="0" w:before="0" w:after="0"/>
        <w:ind w:left="0" w:right="0" w:hanging="0"/>
        <w:jc w:val="left"/>
        <w:rPr>
          <w:color w:val="000000"/>
          <w:spacing w:val="0"/>
          <w:kern w:val="0"/>
          <w:sz w:val="28"/>
          <w:szCs w:val="20"/>
        </w:rPr>
      </w:pPr>
      <w:r>
        <w:rPr/>
      </w:r>
    </w:p>
    <w:p>
      <w:pPr>
        <w:pStyle w:val="Normal"/>
        <w:widowControl w:val="false"/>
        <w:suppressAutoHyphens w:val="true"/>
        <w:spacing w:lineRule="atLeast" w:line="0" w:before="0" w:after="0"/>
        <w:ind w:left="0" w:right="0" w:hanging="0"/>
        <w:jc w:val="left"/>
        <w:rPr>
          <w:color w:val="000000"/>
          <w:spacing w:val="0"/>
          <w:kern w:val="0"/>
          <w:sz w:val="28"/>
          <w:szCs w:val="20"/>
        </w:rPr>
      </w:pPr>
      <w:r>
        <w:rPr>
          <w:rFonts w:ascii="Times New Roman" w:hAnsi="Times New Roman"/>
          <w:color w:val="000000"/>
          <w:spacing w:val="0"/>
          <w:kern w:val="0"/>
          <w:sz w:val="28"/>
          <w:szCs w:val="20"/>
        </w:rPr>
        <w:t>Глава Сандовского муниципального округа                                   О.Н. Грязнов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rFonts w:ascii="Times New Roman" w:hAnsi="Times New Roman"/>
        </w:rPr>
      </w:pPr>
      <w:r>
        <w:rPr/>
      </w:r>
    </w:p>
    <w:p>
      <w:pPr>
        <w:pStyle w:val="Normal"/>
        <w:jc w:val="right"/>
        <w:rPr>
          <w:rFonts w:ascii="Times New Roman" w:hAnsi="Times New Roman"/>
        </w:rPr>
      </w:pPr>
      <w:r>
        <w:rPr/>
      </w:r>
    </w:p>
    <w:p>
      <w:pPr>
        <w:pStyle w:val="Normal"/>
        <w:jc w:val="right"/>
        <w:rPr>
          <w:rFonts w:ascii="Times New Roman" w:hAnsi="Times New Roman"/>
        </w:rPr>
      </w:pPr>
      <w:r>
        <w:rPr/>
      </w:r>
    </w:p>
    <w:p>
      <w:pPr>
        <w:pStyle w:val="Normal"/>
        <w:jc w:val="right"/>
        <w:rPr>
          <w:rFonts w:ascii="Times New Roman" w:hAnsi="Times New Roman"/>
        </w:rPr>
      </w:pPr>
      <w:r>
        <w:rPr/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Приложение1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2"/>
          <w:szCs w:val="22"/>
        </w:rPr>
        <w:t xml:space="preserve"> Решению Думы Сандовского </w:t>
      </w:r>
    </w:p>
    <w:p>
      <w:pPr>
        <w:pStyle w:val="Normal"/>
        <w:jc w:val="right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муниципального округа от </w:t>
      </w:r>
      <w:r>
        <w:rPr>
          <w:rFonts w:ascii="Times New Roman" w:hAnsi="Times New Roman"/>
          <w:sz w:val="22"/>
          <w:szCs w:val="22"/>
        </w:rPr>
        <w:t>21.02.</w:t>
      </w:r>
      <w:r>
        <w:rPr>
          <w:rFonts w:ascii="Times New Roman" w:hAnsi="Times New Roman"/>
          <w:sz w:val="22"/>
          <w:szCs w:val="22"/>
          <w:lang w:val="en-US"/>
        </w:rPr>
        <w:t>2023г</w:t>
      </w:r>
      <w:r>
        <w:rPr>
          <w:rFonts w:ascii="Times New Roman" w:hAnsi="Times New Roman"/>
          <w:sz w:val="22"/>
          <w:szCs w:val="22"/>
        </w:rPr>
        <w:t xml:space="preserve"> № </w:t>
      </w:r>
      <w:r>
        <w:rPr>
          <w:rFonts w:ascii="Times New Roman" w:hAnsi="Times New Roman"/>
          <w:sz w:val="22"/>
          <w:szCs w:val="22"/>
        </w:rPr>
        <w:t>6</w:t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Правила</w:t>
        <w:br/>
        <w:t xml:space="preserve">определения начальной цены предмета аукциона на право заключения 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договоров аренды земельных участков</w:t>
        <w:br/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1.Правила определения начальной цены предмета аукциона на право заключения договоров аренды земельных участков (далее - Правила) разработаны в соответствии со статьей 39.11 Земельного кодекса Российской Федерации, и основываются на основных принципах определения арендной платы при аренде земельных участков, находящихся в государственной или муниципальной собственности, утвержденных постановлением Правительства Российской Федерации от 16 июля 2009г. № 582. </w:t>
      </w:r>
    </w:p>
    <w:p>
      <w:pPr>
        <w:pStyle w:val="Style13"/>
        <w:spacing w:before="0" w:after="0"/>
        <w:jc w:val="both"/>
        <w:rPr/>
      </w:pPr>
      <w:r>
        <w:rPr>
          <w:rFonts w:ascii="Times New Roman" w:hAnsi="Times New Roman"/>
          <w:sz w:val="22"/>
          <w:szCs w:val="22"/>
        </w:rPr>
        <w:tab/>
        <w:t>2.Настоящие Правила устанавливают порядок определени</w:t>
      </w:r>
      <w:r>
        <w:rPr>
          <w:rFonts w:ascii="Times New Roman" w:hAnsi="Times New Roman"/>
          <w:sz w:val="22"/>
          <w:szCs w:val="22"/>
          <w:lang w:val="ru-RU"/>
        </w:rPr>
        <w:t>я</w:t>
      </w:r>
      <w:r>
        <w:rPr>
          <w:rFonts w:ascii="Times New Roman" w:hAnsi="Times New Roman"/>
          <w:sz w:val="22"/>
          <w:szCs w:val="22"/>
        </w:rPr>
        <w:t xml:space="preserve"> начальной цены предмета аукциона на право заключения договоров аренды земельных участков в отношении земельных участков, находящихся в собственности Сандовского муниципального округа Тверской области и земельных участков, государственная собственность на которые не разграничена.</w:t>
        <w:br/>
        <w:tab/>
        <w:t>3.Начальная цена предмета аукциона на право заключения договоров аренды земельных участков (далее – начальная цена) устанавливается за земельный участок в целом.</w:t>
        <w:br/>
        <w:tab/>
        <w:t>4.Размер начальной цены устанавливается в проценте кадастровой стоимости земельного участка, если результаты государственной кадастровой оценки утверждены не ранее чем за пять лет до даты принятия решения о проведении аукциона, за исключением случая, предусмотренного пунктом 6 настоящих Правил.</w:t>
      </w:r>
    </w:p>
    <w:p>
      <w:pPr>
        <w:pStyle w:val="Style13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5.В случае, если результаты государственной кадастровой оценки утверждены ранее чем за пять лет до даты принятия решения о проведении аукциона, начальная цена устанавливается в размере ежегодной арендной платы, определенной по результатам рыночной оценки в соответствии с Федеральным законом от 29 июля 1998г. № 135-ФЗ «Об оценочной деятельности в Российской Федерации».</w:t>
      </w:r>
    </w:p>
    <w:p>
      <w:pPr>
        <w:pStyle w:val="Style13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6.В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(за исключением случая проведения аукциона в соответствии с пунктом 7 статьи 39.18 Земельного кодекса Российской Федерации) начальной ценой предмета аукциона на право заключения договора аренды такого земельного участка является размер первого арендного платежа, определенный по результатам рыночной оценки в соответствии с Федеральным законом от 29 июля 1998г. № 135-ФЗ «Об оценочной деятельности в Российской Федерации».</w:t>
      </w:r>
    </w:p>
    <w:p>
      <w:pPr>
        <w:pStyle w:val="Style13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7.По результатам аукциона определяется ежегодный размер арендной платы.</w:t>
        <w:br/>
        <w:t>По результатам аукциона на право заключения договора аренды земельного участка для комплексного освоения территории или ведения дачного хозяйства (за исключением случая проведения аукциона в соответствии с пунктом 7 статьи 39.18 Земельного кодекса Российской Федерации) определяется размер первого арендного платежа.</w:t>
        <w:br/>
        <w:tab/>
        <w:t>8.Процент кадастровой стоимости земельного участка, применяемый при расчете начальной цены, в соответствии с пунктом 14 статьи 39.11 Земельного кодекса Российской Федерации, не может быть менее полутора процентов.</w:t>
      </w:r>
    </w:p>
    <w:p>
      <w:pPr>
        <w:pStyle w:val="Style13"/>
        <w:spacing w:before="0" w:after="0"/>
        <w:jc w:val="both"/>
        <w:rPr/>
      </w:pPr>
      <w:r>
        <w:rPr>
          <w:rFonts w:ascii="Times New Roman" w:hAnsi="Times New Roman"/>
          <w:sz w:val="22"/>
          <w:szCs w:val="22"/>
        </w:rPr>
        <w:tab/>
        <w:t xml:space="preserve">9.Процентом кадастровой стоимости земельного участка, применяемым при расчете начальной цены, является процент кадастровой стоимости, устанавливаемый для каждого вида разрешенного использования земельного участка (классификатор видов разрешенного использования земельных участков, утвержден </w:t>
      </w:r>
      <w:r>
        <w:rPr>
          <w:rFonts w:ascii="Times New Roman" w:hAnsi="Times New Roman"/>
          <w:sz w:val="22"/>
          <w:szCs w:val="22"/>
          <w:lang w:eastAsia="en-US"/>
        </w:rPr>
        <w:t>Приказом Федеральной службой государственной регистрации, кадастра и картографии от 1</w:t>
      </w:r>
      <w:r>
        <w:rPr>
          <w:rFonts w:ascii="Times New Roman" w:hAnsi="Times New Roman"/>
          <w:sz w:val="22"/>
          <w:szCs w:val="22"/>
          <w:lang w:eastAsia="en-US"/>
        </w:rPr>
        <w:t>0</w:t>
      </w:r>
      <w:r>
        <w:rPr>
          <w:rFonts w:ascii="Times New Roman" w:hAnsi="Times New Roman"/>
          <w:sz w:val="22"/>
          <w:szCs w:val="22"/>
          <w:lang w:eastAsia="en-US"/>
        </w:rPr>
        <w:t xml:space="preserve"> ноября 202</w:t>
      </w:r>
      <w:r>
        <w:rPr>
          <w:rFonts w:ascii="Times New Roman" w:hAnsi="Times New Roman"/>
          <w:sz w:val="22"/>
          <w:szCs w:val="22"/>
          <w:lang w:eastAsia="en-US"/>
        </w:rPr>
        <w:t>0</w:t>
      </w:r>
      <w:r>
        <w:rPr>
          <w:rFonts w:ascii="Times New Roman" w:hAnsi="Times New Roman"/>
          <w:sz w:val="22"/>
          <w:szCs w:val="22"/>
          <w:lang w:eastAsia="en-US"/>
        </w:rPr>
        <w:t>г. № П/0412)</w:t>
      </w:r>
    </w:p>
    <w:p>
      <w:pPr>
        <w:pStyle w:val="Style13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10.Процент кадастровой стоимости, устанавливаемый для каждого вида разрешенного использования земельного участка, применяемый для определения начальной цены, рассчитывается по каждому конкретному участку с применением размеров, установленных постановлением Правительства Российской Федерации от 16 июля 2009г.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Федерации».</w:t>
      </w:r>
    </w:p>
    <w:p>
      <w:pPr>
        <w:pStyle w:val="Normal"/>
        <w:jc w:val="right"/>
        <w:rPr>
          <w:rFonts w:ascii="Times New Roman" w:hAnsi="Times New Roman"/>
          <w:color w:val="000000"/>
        </w:rPr>
      </w:pPr>
      <w:r>
        <w:rPr/>
      </w:r>
    </w:p>
    <w:p>
      <w:pPr>
        <w:pStyle w:val="Normal"/>
        <w:jc w:val="right"/>
        <w:rPr>
          <w:rFonts w:ascii="Times New Roman" w:hAnsi="Times New Roman"/>
          <w:color w:val="000000"/>
        </w:rPr>
      </w:pPr>
      <w:r>
        <w:rPr/>
      </w:r>
    </w:p>
    <w:p>
      <w:pPr>
        <w:pStyle w:val="Normal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>Приложение № 2</w:t>
        <w:br/>
        <w:t xml:space="preserve">к Решению Думы Сандовского </w:t>
      </w:r>
    </w:p>
    <w:p>
      <w:pPr>
        <w:pStyle w:val="Normal"/>
        <w:jc w:val="right"/>
        <w:rPr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муниципального округа от </w:t>
      </w:r>
      <w:r>
        <w:rPr>
          <w:rFonts w:ascii="Times New Roman" w:hAnsi="Times New Roman"/>
          <w:color w:val="000000"/>
          <w:sz w:val="22"/>
          <w:szCs w:val="22"/>
        </w:rPr>
        <w:t>21.</w:t>
      </w:r>
      <w:r>
        <w:rPr>
          <w:rFonts w:ascii="Times New Roman" w:hAnsi="Times New Roman"/>
          <w:color w:val="000000"/>
          <w:sz w:val="22"/>
          <w:szCs w:val="22"/>
        </w:rPr>
        <w:t>02.2023г</w:t>
      </w:r>
      <w:r>
        <w:rPr>
          <w:color w:val="3C3C3C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№ </w:t>
      </w:r>
      <w:r>
        <w:rPr>
          <w:rFonts w:ascii="Times New Roman" w:hAnsi="Times New Roman"/>
          <w:color w:val="000000"/>
          <w:sz w:val="22"/>
          <w:szCs w:val="22"/>
        </w:rPr>
        <w:t>6</w:t>
      </w:r>
      <w:r>
        <w:rPr>
          <w:rFonts w:ascii="Times New Roman" w:hAnsi="Times New Roman"/>
          <w:color w:val="000000"/>
          <w:sz w:val="22"/>
          <w:szCs w:val="22"/>
        </w:rPr>
        <w:br/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Порядок 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определения размера начальной цены предмета аукциона на право заключения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договоров аренды земельных участков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2"/>
          <w:szCs w:val="22"/>
        </w:rPr>
        <w:tab/>
        <w:t>1.</w:t>
      </w:r>
      <w:r>
        <w:rPr>
          <w:rFonts w:ascii="Times New Roman" w:hAnsi="Times New Roman"/>
          <w:sz w:val="22"/>
          <w:szCs w:val="22"/>
        </w:rPr>
        <w:t>Порядок определения начальной цены предмета аукциона на право заключения договоров аренды земельных участков (далее - Порядок) разработан в соответствии со статьей 39.11 Земельного кодекса Российской Федерации, и основывается на Правилах определения начальной цены предмета аукциона на право заключения договоров аренды земельных участков, утверждаемых решением Думы Сандовского муниципального округа.</w:t>
        <w:br/>
        <w:tab/>
        <w:t>2.Настоящий Порядок определяет начальную цену предмета аукциона на право заключения договоров аренды земельных участков (далее – начальная цена) в отношении земельных участков, находящихся в собственности Сандовского муниципального округа и земельных участков, государственная собственность на которые не разграничена.</w:t>
        <w:br/>
        <w:tab/>
        <w:t>3.Размер начальной цены устанавливается в проценте кадастровой стоимости земельного участка, если результаты государственной кадастровой оценки утверждены не ранее чем за пять лет до даты принятия решения о проведении аукциона, за исключением случая, предусмотренного пунктом 6 настоящего Порядка.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4.В случае если результаты государственной кадастровой оценки утверждены ранее, чем за пять лет до даты принятия решения о проведении аукциона, начальная цена устанавливается  в размере  годовой арендной платы, определенной по результатам рыночной оценки в соответствии с Федеральным законом от 29 июля 1998 г. № 135-ФЗ «Об оценочной деятельности в Российской Федерации».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5.Начальная цена определяется по формуле:</w:t>
      </w:r>
    </w:p>
    <w:p>
      <w:pPr>
        <w:pStyle w:val="Normal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>
        <w:rPr>
          <w:rFonts w:ascii="Times New Roman" w:hAnsi="Times New Roman"/>
          <w:sz w:val="22"/>
          <w:szCs w:val="22"/>
        </w:rPr>
        <w:t xml:space="preserve">НЦ =  Кс х ПКСВИ% , </w:t>
      </w:r>
      <w:r>
        <w:rPr>
          <w:rFonts w:eastAsia="Calibri" w:cs="Times New Roman" w:ascii="Times New Roman" w:hAnsi="Times New Roman"/>
          <w:sz w:val="22"/>
          <w:szCs w:val="22"/>
          <w:lang w:eastAsia="en-US"/>
        </w:rPr>
        <w:t>где: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sz w:val="22"/>
          <w:szCs w:val="22"/>
          <w:lang w:eastAsia="en-US"/>
        </w:rPr>
        <w:t>НЦ – начальная цена;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sz w:val="22"/>
          <w:szCs w:val="22"/>
          <w:lang w:eastAsia="en-US"/>
        </w:rPr>
        <w:t>Кс – кадастровая стоимость земельного участка;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sz w:val="22"/>
          <w:szCs w:val="22"/>
          <w:lang w:eastAsia="en-US"/>
        </w:rPr>
        <w:t>ПКСВИ – процент кадастровой стоимости земельного участка для каждого вида разрешенного использования земельного участка.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lang w:eastAsia="en-US"/>
        </w:rPr>
      </w:pPr>
      <w:r>
        <w:rPr>
          <w:rFonts w:eastAsia="Calibri" w:cs="Times New Roman" w:ascii="Times New Roman" w:hAnsi="Times New Roman"/>
          <w:sz w:val="22"/>
          <w:szCs w:val="22"/>
          <w:lang w:eastAsia="en-US"/>
        </w:rPr>
        <w:tab/>
        <w:t xml:space="preserve">6.Процент кадастровой стоимости земельного участка, применяемый при расчете начальной цены, для каждого вида разрешенного использования земельного участка составляет:  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right="0" w:firstLine="540"/>
        <w:jc w:val="both"/>
        <w:outlineLvl w:val="0"/>
        <w:rPr>
          <w:rFonts w:ascii="Times New Roman" w:hAnsi="Times New Roman" w:eastAsia="Calibri" w:cs="Times New Roman"/>
          <w:sz w:val="22"/>
          <w:szCs w:val="22"/>
          <w:lang w:eastAsia="en-US"/>
        </w:rPr>
      </w:pPr>
      <w:r>
        <w:rPr>
          <w:rFonts w:eastAsia="Calibri" w:cs="Times New Roman" w:ascii="Times New Roman" w:hAnsi="Times New Roman"/>
          <w:sz w:val="22"/>
          <w:szCs w:val="22"/>
          <w:lang w:eastAsia="en-US"/>
        </w:rPr>
      </w:r>
    </w:p>
    <w:tbl>
      <w:tblPr>
        <w:tblW w:w="9505" w:type="dxa"/>
        <w:jc w:val="left"/>
        <w:tblInd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1017"/>
        <w:gridCol w:w="6452"/>
        <w:gridCol w:w="2036"/>
      </w:tblGrid>
      <w:tr>
        <w:trPr/>
        <w:tc>
          <w:tcPr>
            <w:tcW w:w="1017" w:type="dxa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№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br/>
            </w: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группы</w:t>
            </w:r>
          </w:p>
        </w:tc>
        <w:tc>
          <w:tcPr>
            <w:tcW w:w="6452" w:type="dxa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Описание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br/>
            </w: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группы</w:t>
            </w:r>
          </w:p>
        </w:tc>
        <w:tc>
          <w:tcPr>
            <w:tcW w:w="2036" w:type="dxa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Процент от кадастровой стоимости земельного участка</w:t>
            </w:r>
          </w:p>
        </w:tc>
      </w:tr>
      <w:tr>
        <w:trPr/>
        <w:tc>
          <w:tcPr>
            <w:tcW w:w="1017" w:type="dxa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452" w:type="dxa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u w:val="single"/>
              </w:rPr>
              <w:t>Сельскохозяйственное использование</w:t>
              <w:br/>
            </w:r>
            <w:r>
              <w:rPr>
                <w:rFonts w:cs="Times New Roman" w:ascii="Times New Roman" w:hAnsi="Times New Roman"/>
                <w:sz w:val="22"/>
                <w:szCs w:val="22"/>
              </w:rPr>
              <w:t>Содержание данного вида разрешенного использования включает в себя содержание видов разрешенного использования с кодами 1.1 - 1.18,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2036" w:type="dxa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1,5 %</w:t>
            </w:r>
          </w:p>
        </w:tc>
      </w:tr>
      <w:tr>
        <w:trPr>
          <w:trHeight w:val="1005" w:hRule="atLeast"/>
        </w:trPr>
        <w:tc>
          <w:tcPr>
            <w:tcW w:w="1017" w:type="dxa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452" w:type="dxa"/>
            <w:tcBorders>
              <w:top w:val="single" w:sz="6" w:space="0" w:color="2076B1"/>
              <w:left w:val="single" w:sz="6" w:space="0" w:color="2076B1"/>
              <w:bottom w:val="single" w:sz="4" w:space="0" w:color="000000"/>
              <w:right w:val="single" w:sz="6" w:space="0" w:color="2076B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u w:val="single"/>
              </w:rPr>
              <w:t>Жилая застройка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Содержание данного вида разрешенного использования включает в себя содержание видов разрешенного использования с кодами 2.1 – 2.7.</w:t>
            </w:r>
          </w:p>
        </w:tc>
        <w:tc>
          <w:tcPr>
            <w:tcW w:w="2036" w:type="dxa"/>
            <w:tcBorders>
              <w:top w:val="single" w:sz="6" w:space="0" w:color="2076B1"/>
              <w:left w:val="single" w:sz="6" w:space="0" w:color="2076B1"/>
              <w:bottom w:val="single" w:sz="4" w:space="0" w:color="000000"/>
              <w:right w:val="single" w:sz="6" w:space="0" w:color="2076B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1,5 %</w:t>
            </w:r>
          </w:p>
        </w:tc>
      </w:tr>
      <w:tr>
        <w:trPr/>
        <w:tc>
          <w:tcPr>
            <w:tcW w:w="1017" w:type="dxa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452" w:type="dxa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u w:val="single"/>
              </w:rPr>
              <w:t>Общественное использование объектов капитального строительства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кодами 3.1 - 3.10</w:t>
            </w:r>
          </w:p>
        </w:tc>
        <w:tc>
          <w:tcPr>
            <w:tcW w:w="2036" w:type="dxa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1,5 %</w:t>
            </w:r>
          </w:p>
        </w:tc>
      </w:tr>
      <w:tr>
        <w:trPr/>
        <w:tc>
          <w:tcPr>
            <w:tcW w:w="1017" w:type="dxa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452" w:type="dxa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u w:val="single"/>
              </w:rPr>
              <w:t>Предпринимательство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  <w:br/>
              <w:t>Содержание данного вида разрешенного использования включает в себя содержание видов разрешенного использования, предусмотренных кодами 4.1 - 4.9</w:t>
            </w:r>
          </w:p>
        </w:tc>
        <w:tc>
          <w:tcPr>
            <w:tcW w:w="2036" w:type="dxa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9 %</w:t>
            </w:r>
          </w:p>
        </w:tc>
      </w:tr>
      <w:tr>
        <w:trPr/>
        <w:tc>
          <w:tcPr>
            <w:tcW w:w="1017" w:type="dxa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452" w:type="dxa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u w:val="single"/>
              </w:rPr>
              <w:t>Отдых (рекреация)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Обустройство мест для занятия спортом, физкультурой, пешими или верховыми прогулками, отдыха, наблюдения за природой, пикников, охоты, рыбалки и иной деятельности.</w:t>
              <w:br/>
              <w:t>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2036" w:type="dxa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lang w:val="en-US"/>
              </w:rPr>
              <w:t>1,5</w:t>
            </w: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 xml:space="preserve"> %</w:t>
            </w:r>
          </w:p>
        </w:tc>
      </w:tr>
      <w:tr>
        <w:trPr/>
        <w:tc>
          <w:tcPr>
            <w:tcW w:w="1017" w:type="dxa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452" w:type="dxa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u w:val="single"/>
              </w:rPr>
              <w:t>Производственная деятельность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Размещение объектов капитального строительства в целях добычи недр, их переработки, изготовления вещей промышленным способом.</w:t>
              <w:br/>
              <w:t>Содержание данного вида разрешенного использования включает в себя содержание видов разрешенного использования с кодами 6.1 - 6.9</w:t>
            </w:r>
          </w:p>
        </w:tc>
        <w:tc>
          <w:tcPr>
            <w:tcW w:w="2036" w:type="dxa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2"/>
                <w:szCs w:val="22"/>
              </w:rPr>
              <w:t>4 %</w:t>
            </w:r>
          </w:p>
        </w:tc>
      </w:tr>
      <w:tr>
        <w:trPr/>
        <w:tc>
          <w:tcPr>
            <w:tcW w:w="1017" w:type="dxa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6452" w:type="dxa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u w:val="single"/>
              </w:rPr>
              <w:t>Транспорт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Размещение различного рода путей сообщения и сооружений, используемых для перевозки людей или грузов либо передачи веществ. Содержание данного вида разрешенного использования включает в себя содержание видов разрешенного использования с кодами 7.1 - 7.5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036" w:type="dxa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1,</w:t>
            </w:r>
            <w:r>
              <w:rPr>
                <w:rFonts w:eastAsia="Calibri" w:cs="Times New Roman" w:ascii="Times New Roman" w:hAnsi="Times New Roman"/>
                <w:sz w:val="22"/>
                <w:szCs w:val="22"/>
                <w:lang w:val="en-US"/>
              </w:rPr>
              <w:t>5</w:t>
            </w: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 xml:space="preserve"> %</w:t>
            </w:r>
          </w:p>
        </w:tc>
      </w:tr>
      <w:tr>
        <w:trPr/>
        <w:tc>
          <w:tcPr>
            <w:tcW w:w="1017" w:type="dxa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6452" w:type="dxa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u w:val="single"/>
              </w:rPr>
              <w:t>Обеспечение обороны и безопасности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Несколько видов разрешенного использования, предназначенных для размещения объектов капитального строительства и иных объектов для: - обеспечения обороны и безопасности; - обеспечения вооруженных сил; - охраны Государственной границы РФ; - обеспечения внутреннего правопорядка; - обеспечения деятельности по исполнению наказаний.</w:t>
            </w:r>
          </w:p>
        </w:tc>
        <w:tc>
          <w:tcPr>
            <w:tcW w:w="2036" w:type="dxa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>1,</w:t>
            </w:r>
            <w:r>
              <w:rPr>
                <w:rFonts w:eastAsia="Calibri" w:cs="Times New Roman" w:ascii="Times New Roman" w:hAnsi="Times New Roman"/>
                <w:sz w:val="22"/>
                <w:szCs w:val="22"/>
                <w:lang w:val="en-US"/>
              </w:rPr>
              <w:t>5</w:t>
            </w:r>
            <w:r>
              <w:rPr>
                <w:rFonts w:eastAsia="Calibri" w:cs="Times New Roman" w:ascii="Times New Roman" w:hAnsi="Times New Roman"/>
                <w:sz w:val="22"/>
                <w:szCs w:val="22"/>
              </w:rPr>
              <w:t xml:space="preserve"> %</w:t>
            </w:r>
          </w:p>
        </w:tc>
      </w:tr>
      <w:tr>
        <w:trPr/>
        <w:tc>
          <w:tcPr>
            <w:tcW w:w="1017" w:type="dxa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6452" w:type="dxa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u w:val="single"/>
              </w:rPr>
              <w:t>Деятельность по особой охране и изучению природы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Несколько видов разрешенного использования, предназначенных для: - деятельности по особой охране и изучению природы; - охраны природных территорий; - курортной деятельности; - исторического назначения.</w:t>
            </w:r>
          </w:p>
        </w:tc>
        <w:tc>
          <w:tcPr>
            <w:tcW w:w="2036" w:type="dxa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1,5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%</w:t>
            </w:r>
          </w:p>
        </w:tc>
      </w:tr>
      <w:tr>
        <w:trPr/>
        <w:tc>
          <w:tcPr>
            <w:tcW w:w="1017" w:type="dxa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6452" w:type="dxa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u w:val="single"/>
              </w:rPr>
              <w:t>Лесная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Данная группа объединяет несколько видов разрешенного использования, связанных с использованием лесных ресурсов: - лесная; - заготовка древесины; - лесные плантации; - заготовка лесных ресурсов; - резервные леса.</w:t>
            </w:r>
          </w:p>
        </w:tc>
        <w:tc>
          <w:tcPr>
            <w:tcW w:w="2036" w:type="dxa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1,5%</w:t>
            </w:r>
          </w:p>
        </w:tc>
      </w:tr>
      <w:tr>
        <w:trPr/>
        <w:tc>
          <w:tcPr>
            <w:tcW w:w="1017" w:type="dxa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6452" w:type="dxa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u w:val="single"/>
              </w:rPr>
              <w:t>Водные объекты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Группа объединяет несколько видов разрешенного использования, связанных с использованием объектов водного фонда и гидротехнических сооружений: - водные объекты; - общее пользование водными объектами; - специальное пользование водными объектами; - гидротехнические сооружения.</w:t>
            </w:r>
          </w:p>
        </w:tc>
        <w:tc>
          <w:tcPr>
            <w:tcW w:w="2036" w:type="dxa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1,</w:t>
            </w: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5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%</w:t>
            </w:r>
          </w:p>
        </w:tc>
      </w:tr>
      <w:tr>
        <w:trPr/>
        <w:tc>
          <w:tcPr>
            <w:tcW w:w="1017" w:type="dxa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6452" w:type="dxa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u w:val="single"/>
              </w:rPr>
              <w:t>Общее пользование территории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Группа объединяет несколько видов разрешенного использования, связанных с особыми видами деятельности, а также для земель запаса, на которых хозяйственная деятельность не осуществляется: - общее пользование территорией; - ритуальной деятельности; - специальной; - запаса.</w:t>
            </w:r>
          </w:p>
        </w:tc>
        <w:tc>
          <w:tcPr>
            <w:tcW w:w="2036" w:type="dxa"/>
            <w:tcBorders>
              <w:top w:val="single" w:sz="6" w:space="0" w:color="2076B1"/>
              <w:left w:val="single" w:sz="6" w:space="0" w:color="2076B1"/>
              <w:bottom w:val="single" w:sz="6" w:space="0" w:color="2076B1"/>
              <w:right w:val="single" w:sz="6" w:space="0" w:color="2076B1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1,</w:t>
            </w: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5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%</w:t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ascii="Times New Roman" w:hAnsi="Times New Roman" w:eastAsia="Calibri" w:cs="Times New Roman"/>
          <w:sz w:val="22"/>
          <w:szCs w:val="22"/>
          <w:lang w:eastAsia="en-US"/>
        </w:rPr>
      </w:pPr>
      <w:r>
        <w:rPr>
          <w:rFonts w:eastAsia="Calibri" w:cs="Times New Roman" w:ascii="Times New Roman" w:hAnsi="Times New Roman"/>
          <w:sz w:val="22"/>
          <w:szCs w:val="22"/>
          <w:lang w:eastAsia="en-US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7.Минимальный процент кадастровой стоимости земельного участка, применяемый при определении начальной цены, составляет полтора процента.</w:t>
      </w:r>
    </w:p>
    <w:p>
      <w:pPr>
        <w:pStyle w:val="Normal"/>
        <w:numPr>
          <w:ilvl w:val="0"/>
          <w:numId w:val="0"/>
        </w:numPr>
        <w:ind w:left="720" w:right="0" w:hanging="0"/>
        <w:rPr>
          <w:sz w:val="22"/>
          <w:szCs w:val="22"/>
        </w:rPr>
      </w:pPr>
      <w:r>
        <w:rPr/>
      </w:r>
    </w:p>
    <w:sectPr>
      <w:type w:val="nextPage"/>
      <w:pgSz w:w="11906" w:h="16838"/>
      <w:pgMar w:left="1134" w:right="857" w:gutter="0" w:header="0" w:top="1134" w:footer="0" w:bottom="1134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swiss"/>
    <w:pitch w:val="variable"/>
  </w:font>
  <w:font w:name="XO Thames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"/>
      <w:lvlJc w:val="left"/>
      <w:pPr>
        <w:tabs>
          <w:tab w:val="num" w:pos="432"/>
        </w:tabs>
        <w:ind w:left="432" w:hanging="432"/>
      </w:pPr>
      <w:rPr/>
    </w:lvl>
    <w:lvl w:ilvl="1">
      <w:start w:val="1"/>
      <w:numFmt w:val="decimal"/>
      <w:lvlText w:val=""/>
      <w:lvlJc w:val="left"/>
      <w:pPr>
        <w:tabs>
          <w:tab w:val="num" w:pos="576"/>
        </w:tabs>
        <w:ind w:left="576" w:hanging="576"/>
      </w:pPr>
      <w:rPr/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1">
    <w:name w:val="Heading 1"/>
    <w:basedOn w:val="Standard1"/>
    <w:next w:val="Standard1"/>
    <w:uiPriority w:val="9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Standard1"/>
    <w:next w:val="Standard1"/>
    <w:uiPriority w:val="9"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color w:val="4F81BD"/>
      <w:sz w:val="26"/>
    </w:rPr>
  </w:style>
  <w:style w:type="paragraph" w:styleId="3">
    <w:name w:val="Heading 3"/>
    <w:next w:val="Normal"/>
    <w:uiPriority w:val="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  <w:outlineLvl w:val="2"/>
    </w:pPr>
    <w:rPr>
      <w:rFonts w:ascii="XO Thames" w:hAnsi="XO Thames" w:eastAsia="NSimSun" w:cs="Lucida Sans"/>
      <w:b/>
      <w:i/>
      <w:color w:val="000000"/>
      <w:spacing w:val="0"/>
      <w:kern w:val="0"/>
      <w:sz w:val="20"/>
      <w:szCs w:val="20"/>
      <w:lang w:val="ru-RU" w:eastAsia="zh-CN" w:bidi="hi-IN"/>
    </w:rPr>
  </w:style>
  <w:style w:type="paragraph" w:styleId="4">
    <w:name w:val="Heading 4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left"/>
      <w:outlineLvl w:val="3"/>
    </w:pPr>
    <w:rPr>
      <w:rFonts w:ascii="XO Thames" w:hAnsi="XO Thames" w:eastAsia="NSimSun" w:cs="Lucida Sans"/>
      <w:b/>
      <w:color w:val="595959"/>
      <w:spacing w:val="0"/>
      <w:kern w:val="0"/>
      <w:sz w:val="26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left"/>
      <w:outlineLvl w:val="4"/>
    </w:pPr>
    <w:rPr>
      <w:rFonts w:ascii="XO Thames" w:hAnsi="XO Thames" w:eastAsia="NSimSun" w:cs="Lucida Sans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qFormat/>
    <w:rPr/>
  </w:style>
  <w:style w:type="character" w:styleId="11">
    <w:name w:val="Указатель1"/>
    <w:link w:val="12"/>
    <w:qFormat/>
    <w:rPr>
      <w:rFonts w:ascii="Arial" w:hAnsi="Arial"/>
    </w:rPr>
  </w:style>
  <w:style w:type="character" w:styleId="Contents4">
    <w:name w:val="Contents 4"/>
    <w:qFormat/>
    <w:rPr/>
  </w:style>
  <w:style w:type="character" w:styleId="WWAbsatzStandardschriftart111111111">
    <w:name w:val="WW-Absatz-Standardschriftart111111111"/>
    <w:link w:val="WWAbsatzStandardschriftart1111111111"/>
    <w:qFormat/>
    <w:rPr/>
  </w:style>
  <w:style w:type="character" w:styleId="Contents6">
    <w:name w:val="Contents 6"/>
    <w:qFormat/>
    <w:rPr/>
  </w:style>
  <w:style w:type="character" w:styleId="WWAbsatzStandardschriftart">
    <w:name w:val="WW-Absatz-Standardschriftart"/>
    <w:link w:val="WWAbsatzStandardschriftart2"/>
    <w:qFormat/>
    <w:rPr/>
  </w:style>
  <w:style w:type="character" w:styleId="Contents7">
    <w:name w:val="Contents 7"/>
    <w:qFormat/>
    <w:rPr/>
  </w:style>
  <w:style w:type="character" w:styleId="WW8Num1z4">
    <w:name w:val="WW8Num1z4"/>
    <w:link w:val="WW8Num1z41"/>
    <w:qFormat/>
    <w:rPr/>
  </w:style>
  <w:style w:type="character" w:styleId="WWAbsatzStandardschriftart1">
    <w:name w:val="WW-Absatz-Standardschriftart1"/>
    <w:link w:val="WWAbsatzStandardschriftart12"/>
    <w:qFormat/>
    <w:rPr/>
  </w:style>
  <w:style w:type="character" w:styleId="Heading3">
    <w:name w:val="Heading 3"/>
    <w:qFormat/>
    <w:rPr>
      <w:rFonts w:ascii="XO Thames" w:hAnsi="XO Thames"/>
      <w:b/>
      <w:i/>
      <w:color w:val="000000"/>
    </w:rPr>
  </w:style>
  <w:style w:type="character" w:styleId="WW8Num1z8">
    <w:name w:val="WW8Num1z8"/>
    <w:link w:val="WW8Num1z81"/>
    <w:qFormat/>
    <w:rPr/>
  </w:style>
  <w:style w:type="character" w:styleId="Style9">
    <w:name w:val="Гипертекстовая ссылка"/>
    <w:link w:val="Style17"/>
    <w:qFormat/>
    <w:rPr>
      <w:b w:val="false"/>
      <w:color w:val="106BBE"/>
    </w:rPr>
  </w:style>
  <w:style w:type="character" w:styleId="AbsatzStandardschriftart">
    <w:name w:val="Absatz-Standardschriftart"/>
    <w:link w:val="AbsatzStandardschriftart1"/>
    <w:qFormat/>
    <w:rPr/>
  </w:style>
  <w:style w:type="character" w:styleId="WWAbsatzStandardschriftart11111111">
    <w:name w:val="WW-Absatz-Standardschriftart11111111"/>
    <w:link w:val="WWAbsatzStandardschriftart111111112"/>
    <w:qFormat/>
    <w:rPr/>
  </w:style>
  <w:style w:type="character" w:styleId="WWAbsatzStandardschriftart111111">
    <w:name w:val="WW-Absatz-Standardschriftart111111"/>
    <w:link w:val="WWAbsatzStandardschriftart1111112"/>
    <w:qFormat/>
    <w:rPr/>
  </w:style>
  <w:style w:type="character" w:styleId="WW8Num1z2">
    <w:name w:val="WW8Num1z2"/>
    <w:link w:val="WW8Num1z21"/>
    <w:qFormat/>
    <w:rPr/>
  </w:style>
  <w:style w:type="character" w:styleId="WW8Num1z0">
    <w:name w:val="WW8Num1z0"/>
    <w:link w:val="WW8Num1z01"/>
    <w:qFormat/>
    <w:rPr/>
  </w:style>
  <w:style w:type="character" w:styleId="Textbody">
    <w:name w:val="Text body"/>
    <w:qFormat/>
    <w:rPr/>
  </w:style>
  <w:style w:type="character" w:styleId="WW8Num1z3">
    <w:name w:val="WW8Num1z3"/>
    <w:link w:val="WW8Num1z31"/>
    <w:qFormat/>
    <w:rPr/>
  </w:style>
  <w:style w:type="character" w:styleId="Contents3">
    <w:name w:val="Contents 3"/>
    <w:qFormat/>
    <w:rPr/>
  </w:style>
  <w:style w:type="character" w:styleId="WWAbsatzStandardschriftart111">
    <w:name w:val="WW-Absatz-Standardschriftart111"/>
    <w:link w:val="WWAbsatzStandardschriftart1112"/>
    <w:qFormat/>
    <w:rPr/>
  </w:style>
  <w:style w:type="character" w:styleId="WWAbsatzStandardschriftart1111111">
    <w:name w:val="WW-Absatz-Standardschriftart1111111"/>
    <w:link w:val="WWAbsatzStandardschriftart11111112"/>
    <w:qFormat/>
    <w:rPr/>
  </w:style>
  <w:style w:type="character" w:styleId="DefaultParagraphFont">
    <w:name w:val="Default Paragraph Font"/>
    <w:link w:val="DefaultParagraphFont1"/>
    <w:qFormat/>
    <w:rPr/>
  </w:style>
  <w:style w:type="character" w:styleId="WWAbsatzStandardschriftart11">
    <w:name w:val="WW-Absatz-Standardschriftart11"/>
    <w:link w:val="WWAbsatzStandardschriftart112"/>
    <w:qFormat/>
    <w:rPr/>
  </w:style>
  <w:style w:type="character" w:styleId="Heading5">
    <w:name w:val="Heading 5"/>
    <w:qFormat/>
    <w:rPr>
      <w:rFonts w:ascii="XO Thames" w:hAnsi="XO Thames"/>
      <w:b/>
      <w:color w:val="000000"/>
      <w:sz w:val="22"/>
    </w:rPr>
  </w:style>
  <w:style w:type="character" w:styleId="Heading1">
    <w:name w:val="Heading 1"/>
    <w:basedOn w:val="Standard"/>
    <w:qFormat/>
    <w:rPr>
      <w:rFonts w:ascii="Cambria" w:hAnsi="Cambria"/>
      <w:b/>
      <w:color w:val="365F91"/>
      <w:sz w:val="28"/>
    </w:rPr>
  </w:style>
  <w:style w:type="character" w:styleId="WW8Num1z6">
    <w:name w:val="WW8Num1z6"/>
    <w:link w:val="WW8Num1z61"/>
    <w:qFormat/>
    <w:rPr/>
  </w:style>
  <w:style w:type="character" w:styleId="WW8Num1z5">
    <w:name w:val="WW8Num1z5"/>
    <w:link w:val="WW8Num1z51"/>
    <w:qFormat/>
    <w:rPr/>
  </w:style>
  <w:style w:type="character" w:styleId="NormalWeb">
    <w:name w:val="Normal (Web)"/>
    <w:link w:val="NormalWeb1"/>
    <w:qFormat/>
    <w:rPr>
      <w:rFonts w:ascii="Times New Roman" w:hAnsi="Times New Roman"/>
      <w:sz w:val="24"/>
    </w:rPr>
  </w:style>
  <w:style w:type="character" w:styleId="WW8Num1z7">
    <w:name w:val="WW8Num1z7"/>
    <w:link w:val="WW8Num1z71"/>
    <w:qFormat/>
    <w:rPr/>
  </w:style>
  <w:style w:type="character" w:styleId="Style10">
    <w:name w:val="Hyperlink"/>
    <w:rPr>
      <w:color w:val="000080"/>
      <w:u w:val="single"/>
    </w:rPr>
  </w:style>
  <w:style w:type="character" w:styleId="Footnote">
    <w:name w:val="Footnote"/>
    <w:link w:val="Footnote1"/>
    <w:qFormat/>
    <w:rPr>
      <w:rFonts w:ascii="XO Thames" w:hAnsi="XO Thames"/>
      <w:sz w:val="22"/>
    </w:rPr>
  </w:style>
  <w:style w:type="character" w:styleId="WW8Num1z1">
    <w:name w:val="WW8Num1z1"/>
    <w:link w:val="WW8Num1z11"/>
    <w:qFormat/>
    <w:rPr/>
  </w:style>
  <w:style w:type="character" w:styleId="Contents1">
    <w:name w:val="Contents 1"/>
    <w:qFormat/>
    <w:rPr>
      <w:rFonts w:ascii="XO Thames" w:hAnsi="XO Thames"/>
      <w:b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Strong">
    <w:name w:val="Strong"/>
    <w:link w:val="Strong1"/>
    <w:qFormat/>
    <w:rPr>
      <w:b/>
      <w:bCs/>
    </w:rPr>
  </w:style>
  <w:style w:type="character" w:styleId="NoSpacing">
    <w:name w:val="No Spacing"/>
    <w:link w:val="NoSpacing1"/>
    <w:qFormat/>
    <w:rPr>
      <w:rFonts w:ascii="Calibri" w:hAnsi="Calibri"/>
      <w:sz w:val="22"/>
    </w:rPr>
  </w:style>
  <w:style w:type="character" w:styleId="Contents9">
    <w:name w:val="Contents 9"/>
    <w:qFormat/>
    <w:rPr/>
  </w:style>
  <w:style w:type="character" w:styleId="Contents8">
    <w:name w:val="Contents 8"/>
    <w:qFormat/>
    <w:rPr/>
  </w:style>
  <w:style w:type="character" w:styleId="WWAbsatzStandardschriftart11111">
    <w:name w:val="WW-Absatz-Standardschriftart11111"/>
    <w:link w:val="WWAbsatzStandardschriftart111112"/>
    <w:qFormat/>
    <w:rPr/>
  </w:style>
  <w:style w:type="character" w:styleId="Contents5">
    <w:name w:val="Contents 5"/>
    <w:qFormat/>
    <w:rPr/>
  </w:style>
  <w:style w:type="character" w:styleId="Style11">
    <w:name w:val="Заголовок"/>
    <w:link w:val="Style12"/>
    <w:qFormat/>
    <w:rPr>
      <w:rFonts w:ascii="Arial" w:hAnsi="Arial"/>
      <w:sz w:val="28"/>
    </w:rPr>
  </w:style>
  <w:style w:type="character" w:styleId="Subtitle">
    <w:name w:val="Subtitle"/>
    <w:qFormat/>
    <w:rPr>
      <w:rFonts w:ascii="Times New Roman" w:hAnsi="Times New Roman"/>
      <w:sz w:val="36"/>
    </w:rPr>
  </w:style>
  <w:style w:type="character" w:styleId="Toc10">
    <w:name w:val="toc 10"/>
    <w:link w:val="Toc101"/>
    <w:qFormat/>
    <w:rPr/>
  </w:style>
  <w:style w:type="character" w:styleId="Caption">
    <w:name w:val="caption"/>
    <w:link w:val="Caption1"/>
    <w:qFormat/>
    <w:rPr>
      <w:rFonts w:ascii="Arial" w:hAnsi="Arial"/>
      <w:i/>
      <w:sz w:val="20"/>
    </w:rPr>
  </w:style>
  <w:style w:type="character" w:styleId="Title">
    <w:name w:val="Title"/>
    <w:qFormat/>
    <w:rPr>
      <w:rFonts w:ascii="XO Thames" w:hAnsi="XO Thames"/>
      <w:b/>
      <w:sz w:val="52"/>
    </w:rPr>
  </w:style>
  <w:style w:type="character" w:styleId="Standard">
    <w:name w:val="Standard"/>
    <w:link w:val="Standard1"/>
    <w:qFormat/>
    <w:rPr>
      <w:sz w:val="24"/>
    </w:rPr>
  </w:style>
  <w:style w:type="character" w:styleId="Heading4">
    <w:name w:val="Heading 4"/>
    <w:qFormat/>
    <w:rPr>
      <w:rFonts w:ascii="XO Thames" w:hAnsi="XO Thames"/>
      <w:b/>
      <w:color w:val="595959"/>
      <w:sz w:val="26"/>
    </w:rPr>
  </w:style>
  <w:style w:type="character" w:styleId="Heading2">
    <w:name w:val="Heading 2"/>
    <w:basedOn w:val="Standard"/>
    <w:qFormat/>
    <w:rPr>
      <w:rFonts w:ascii="Cambria" w:hAnsi="Cambria"/>
      <w:b/>
      <w:color w:val="4F81BD"/>
      <w:sz w:val="26"/>
    </w:rPr>
  </w:style>
  <w:style w:type="character" w:styleId="List">
    <w:name w:val="List"/>
    <w:basedOn w:val="Textbody"/>
    <w:qFormat/>
    <w:rPr>
      <w:rFonts w:ascii="Arial" w:hAnsi="Arial"/>
    </w:rPr>
  </w:style>
  <w:style w:type="character" w:styleId="WWAbsatzStandardschriftart1111">
    <w:name w:val="WW-Absatz-Standardschriftart1111"/>
    <w:link w:val="WWAbsatzStandardschriftart11112"/>
    <w:qFormat/>
    <w:rPr/>
  </w:style>
  <w:style w:type="paragraph" w:styleId="Style12">
    <w:name w:val="Заголовок"/>
    <w:basedOn w:val="Normal"/>
    <w:next w:val="Style13"/>
    <w:link w:val="Style11"/>
    <w:qFormat/>
    <w:pPr>
      <w:keepNext w:val="true"/>
      <w:spacing w:before="240" w:after="120"/>
    </w:pPr>
    <w:rPr>
      <w:rFonts w:ascii="Arial" w:hAnsi="Arial"/>
      <w:sz w:val="28"/>
    </w:rPr>
  </w:style>
  <w:style w:type="paragraph" w:styleId="Style13">
    <w:name w:val="Body Text"/>
    <w:basedOn w:val="Normal"/>
    <w:pPr>
      <w:spacing w:before="0" w:after="120"/>
    </w:pPr>
    <w:rPr/>
  </w:style>
  <w:style w:type="paragraph" w:styleId="Style14">
    <w:name w:val="List"/>
    <w:basedOn w:val="Style13"/>
    <w:pPr/>
    <w:rPr>
      <w:rFonts w:ascii="Arial" w:hAnsi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  <w:style w:type="paragraph" w:styleId="21">
    <w:name w:val="TOC 2"/>
    <w:next w:val="Normal"/>
    <w:uiPriority w:val="39"/>
    <w:pPr>
      <w:widowControl/>
      <w:suppressAutoHyphens w:val="true"/>
      <w:bidi w:val="0"/>
      <w:spacing w:lineRule="auto" w:line="240" w:before="0" w:after="0"/>
      <w:ind w:left="20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12">
    <w:name w:val="Указатель1"/>
    <w:basedOn w:val="Normal"/>
    <w:link w:val="11"/>
    <w:qFormat/>
    <w:pPr/>
    <w:rPr>
      <w:rFonts w:ascii="Arial" w:hAnsi="Arial"/>
    </w:rPr>
  </w:style>
  <w:style w:type="paragraph" w:styleId="41">
    <w:name w:val="TOC 4"/>
    <w:next w:val="Normal"/>
    <w:uiPriority w:val="39"/>
    <w:pPr>
      <w:widowControl/>
      <w:suppressAutoHyphens w:val="true"/>
      <w:bidi w:val="0"/>
      <w:spacing w:lineRule="auto" w:line="240" w:before="0" w:after="0"/>
      <w:ind w:left="60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11">
    <w:name w:val="WW-Absatz-Standardschriftart111111111"/>
    <w:link w:val="WWAbsatzStandardschriftart1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suppressAutoHyphens w:val="true"/>
      <w:bidi w:val="0"/>
      <w:spacing w:lineRule="auto" w:line="240" w:before="0" w:after="0"/>
      <w:ind w:left="100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2">
    <w:name w:val="WW-Absatz-Standardschriftart"/>
    <w:link w:val="WWAbsatzStandardschriftart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suppressAutoHyphens w:val="true"/>
      <w:bidi w:val="0"/>
      <w:spacing w:lineRule="auto" w:line="240" w:before="0" w:after="0"/>
      <w:ind w:left="120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41">
    <w:name w:val="WW8Num1z4"/>
    <w:link w:val="WW8Num1z4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2">
    <w:name w:val="WW-Absatz-Standardschriftart1"/>
    <w:link w:val="WWAbsatzStandardschriftart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81">
    <w:name w:val="WW8Num1z8"/>
    <w:link w:val="WW8Num1z8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17">
    <w:name w:val="Гипертекстовая ссылка"/>
    <w:link w:val="Style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b w:val="false"/>
      <w:color w:val="106BBE"/>
      <w:spacing w:val="0"/>
      <w:kern w:val="0"/>
      <w:sz w:val="20"/>
      <w:szCs w:val="20"/>
      <w:lang w:val="ru-RU" w:eastAsia="zh-CN" w:bidi="hi-IN"/>
    </w:rPr>
  </w:style>
  <w:style w:type="paragraph" w:styleId="AbsatzStandardschriftart1">
    <w:name w:val="Absatz-Standardschriftart"/>
    <w:link w:val="AbsatzStandardschriftart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2">
    <w:name w:val="WW-Absatz-Standardschriftart11111111"/>
    <w:link w:val="WWAbsatzStandardschriftart1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2">
    <w:name w:val="WW-Absatz-Standardschriftart111111"/>
    <w:link w:val="WWAbsatzStandardschriftart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21">
    <w:name w:val="WW8Num1z2"/>
    <w:link w:val="WW8Num1z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01">
    <w:name w:val="WW8Num1z0"/>
    <w:link w:val="WW8Num1z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31">
    <w:name w:val="WW8Num1z3"/>
    <w:link w:val="WW8Num1z3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31">
    <w:name w:val="TOC 3"/>
    <w:next w:val="Normal"/>
    <w:uiPriority w:val="39"/>
    <w:pPr>
      <w:widowControl/>
      <w:suppressAutoHyphens w:val="true"/>
      <w:bidi w:val="0"/>
      <w:spacing w:lineRule="auto" w:line="240" w:before="0" w:after="0"/>
      <w:ind w:left="40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2">
    <w:name w:val="WW-Absatz-Standardschriftart111"/>
    <w:link w:val="WWAbsatzStandardschriftart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2">
    <w:name w:val="WW-Absatz-Standardschriftart1111111"/>
    <w:link w:val="WWAbsatzStandardschriftart11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DefaultParagraphFont1">
    <w:name w:val="Default Paragraph Font"/>
    <w:link w:val="DefaultParagraphFont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2">
    <w:name w:val="WW-Absatz-Standardschriftart11"/>
    <w:link w:val="WWAbsatzStandardschriftart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61">
    <w:name w:val="WW8Num1z6"/>
    <w:link w:val="WW8Num1z6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51">
    <w:name w:val="WW8Num1z5"/>
    <w:link w:val="WW8Num1z5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NormalWeb1">
    <w:name w:val="Normal (Web)"/>
    <w:basedOn w:val="Normal"/>
    <w:link w:val="NormalWeb"/>
    <w:qFormat/>
    <w:pPr>
      <w:widowControl/>
      <w:spacing w:beforeAutospacing="1" w:afterAutospacing="1"/>
    </w:pPr>
    <w:rPr>
      <w:rFonts w:ascii="Times New Roman" w:hAnsi="Times New Roman"/>
      <w:sz w:val="24"/>
    </w:rPr>
  </w:style>
  <w:style w:type="paragraph" w:styleId="WW8Num1z71">
    <w:name w:val="WW8Num1z7"/>
    <w:link w:val="WW8Num1z7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Internetlink">
    <w:name w:val="Internet link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80"/>
      <w:spacing w:val="0"/>
      <w:kern w:val="0"/>
      <w:sz w:val="20"/>
      <w:szCs w:val="20"/>
      <w:u w:val="single"/>
      <w:lang w:val="ru-RU" w:eastAsia="zh-CN" w:bidi="hi-IN"/>
    </w:rPr>
  </w:style>
  <w:style w:type="paragraph" w:styleId="Footnote1">
    <w:name w:val="Footnote"/>
    <w:link w:val="Footnote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2"/>
      <w:szCs w:val="20"/>
      <w:lang w:val="ru-RU" w:eastAsia="zh-CN" w:bidi="hi-IN"/>
    </w:rPr>
  </w:style>
  <w:style w:type="paragraph" w:styleId="WW8Num1z11">
    <w:name w:val="WW8Num1z1"/>
    <w:link w:val="WW8Num1z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13">
    <w:name w:val="TOC 1"/>
    <w:next w:val="Normal"/>
    <w:uiPriority w:val="39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Lucida Sans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Style18">
    <w:name w:val="Колонтитул"/>
    <w:qFormat/>
    <w:pPr>
      <w:widowControl/>
      <w:suppressAutoHyphens w:val="true"/>
      <w:bidi w:val="0"/>
      <w:spacing w:lineRule="auto" w:line="360" w:before="0" w:after="0"/>
      <w:ind w:left="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rong1">
    <w:name w:val="Strong"/>
    <w:link w:val="Strong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NoSpacing1">
    <w:name w:val="No Spacing"/>
    <w:link w:val="NoSpacing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NSimSun" w:cs="Lucida Sans"/>
      <w:color w:val="000000"/>
      <w:spacing w:val="0"/>
      <w:kern w:val="0"/>
      <w:sz w:val="22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suppressAutoHyphens w:val="true"/>
      <w:bidi w:val="0"/>
      <w:spacing w:lineRule="auto" w:line="240" w:before="0" w:after="0"/>
      <w:ind w:left="160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suppressAutoHyphens w:val="true"/>
      <w:bidi w:val="0"/>
      <w:spacing w:lineRule="auto" w:line="240" w:before="0" w:after="0"/>
      <w:ind w:left="140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2">
    <w:name w:val="WW-Absatz-Standardschriftart11111"/>
    <w:link w:val="WWAbsatzStandardschriftart1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51">
    <w:name w:val="TOC 5"/>
    <w:next w:val="Normal"/>
    <w:uiPriority w:val="39"/>
    <w:pPr>
      <w:widowControl/>
      <w:suppressAutoHyphens w:val="true"/>
      <w:bidi w:val="0"/>
      <w:spacing w:lineRule="auto" w:line="240" w:before="0" w:after="0"/>
      <w:ind w:left="80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19">
    <w:name w:val="Subtitle"/>
    <w:basedOn w:val="Normal"/>
    <w:next w:val="Style13"/>
    <w:uiPriority w:val="11"/>
    <w:qFormat/>
    <w:pPr>
      <w:widowControl/>
      <w:jc w:val="center"/>
    </w:pPr>
    <w:rPr>
      <w:rFonts w:ascii="Times New Roman" w:hAnsi="Times New Roman"/>
      <w:sz w:val="36"/>
    </w:rPr>
  </w:style>
  <w:style w:type="paragraph" w:styleId="Toc101">
    <w:name w:val="toc 10"/>
    <w:next w:val="Normal"/>
    <w:link w:val="Toc10"/>
    <w:uiPriority w:val="39"/>
    <w:qFormat/>
    <w:pPr>
      <w:widowControl/>
      <w:suppressAutoHyphens w:val="true"/>
      <w:bidi w:val="0"/>
      <w:spacing w:lineRule="auto" w:line="240" w:before="0" w:after="0"/>
      <w:ind w:left="180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Caption1">
    <w:name w:val="caption"/>
    <w:basedOn w:val="Normal"/>
    <w:link w:val="Caption"/>
    <w:qFormat/>
    <w:pPr>
      <w:spacing w:before="120" w:after="120"/>
    </w:pPr>
    <w:rPr>
      <w:rFonts w:ascii="Arial" w:hAnsi="Arial"/>
      <w:i/>
      <w:sz w:val="20"/>
    </w:rPr>
  </w:style>
  <w:style w:type="paragraph" w:styleId="Style20">
    <w:name w:val="Title"/>
    <w:next w:val="Normal"/>
    <w:uiPriority w:val="1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Lucida Sans"/>
      <w:b/>
      <w:color w:val="000000"/>
      <w:spacing w:val="0"/>
      <w:kern w:val="0"/>
      <w:sz w:val="52"/>
      <w:szCs w:val="20"/>
      <w:lang w:val="ru-RU" w:eastAsia="zh-CN" w:bidi="hi-IN"/>
    </w:rPr>
  </w:style>
  <w:style w:type="paragraph" w:styleId="Standard1">
    <w:name w:val="Standard"/>
    <w:link w:val="Standard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4"/>
      <w:szCs w:val="20"/>
      <w:lang w:val="ru-RU" w:eastAsia="zh-CN" w:bidi="hi-IN"/>
    </w:rPr>
  </w:style>
  <w:style w:type="paragraph" w:styleId="WWAbsatzStandardschriftart11112">
    <w:name w:val="WW-Absatz-Standardschriftart1111"/>
    <w:link w:val="WWAbsatzStandardschriftart11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table" w:default="1" w:styleId="Style_4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Application>LibreOffice/7.4.4.2$Windows_x86 LibreOffice_project/85569322deea74ec9134968a29af2df5663baa21</Application>
  <AppVersion>15.0000</AppVersion>
  <Pages>5</Pages>
  <Words>1350</Words>
  <Characters>9622</Characters>
  <CharactersWithSpaces>11114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2023-02-27T13:57:59Z</cp:lastPrinted>
  <dcterms:modified xsi:type="dcterms:W3CDTF">2023-02-27T13:59:19Z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