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/>
        <w:drawing>
          <wp:inline distT="0" distB="0" distL="0" distR="0">
            <wp:extent cx="559435" cy="623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8" t="-360" r="-448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Spacing"/>
        <w:jc w:val="center"/>
        <w:rPr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Тверская  область</w:t>
      </w:r>
    </w:p>
    <w:p>
      <w:pPr>
        <w:pStyle w:val="NoSpacing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>
      <w:pPr>
        <w:pStyle w:val="Normal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0.10.2023                                           п. Сандово                                                  № 25</w:t>
      </w:r>
      <w:r>
        <w:rPr>
          <w:rFonts w:ascii="Times New Roman" w:hAnsi="Times New Roman"/>
          <w:sz w:val="28"/>
          <w:szCs w:val="28"/>
        </w:rPr>
        <w:t>1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установлении публичного сервитута</w:t>
      </w:r>
    </w:p>
    <w:p>
      <w:pPr>
        <w:pStyle w:val="Normal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главой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>.7 Земельного кодекса Российской Федерации, Федеральным законом от 06.10.2003 года № 131-ФЗ «Об общих принципах организации местного самоуправления в РФ», Законом Тверской области от 09.04.2008 № 49-ЗО «О регулировании отдельных земельных отношений в Тверской области», Законом Тверской области от 23.04.2020 №21-ЗО «О преобразовании муниципальных образований, входящих в состав территории муниципального образования Тверской области Сандовский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Уставом Сандовского муниципального округа Тверской области, на основании ходатайства Общества с ограниченной ответственностью «Транснефть-Балтика» (далее-ООО «Транснефть-Балтика», ОГРН: 1024700871711, ИНН: 4704041900) об установлении публичного сервитута,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Сандовского муниципального округа</w:t>
      </w:r>
    </w:p>
    <w:p>
      <w:pPr>
        <w:pStyle w:val="Normal"/>
        <w:spacing w:lineRule="auto" w:line="240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Heading2"/>
        <w:shd w:val="clear" w:color="auto" w:fill="FFFFFF"/>
        <w:spacing w:lineRule="auto" w:line="240" w:beforeAutospacing="0" w:before="0" w:afterAutospacing="0" w:after="24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1.Установить публичный сервитут в интересах  ООО «Транснефть-Балтика» в отношении земельных участков: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-   </w:t>
      </w:r>
      <w:r>
        <w:rPr>
          <w:rFonts w:ascii="Times New Roman" w:hAnsi="Times New Roman"/>
          <w:b w:val="false"/>
          <w:color w:val="000000"/>
          <w:sz w:val="26"/>
          <w:szCs w:val="26"/>
        </w:rPr>
        <w:t xml:space="preserve">69:28:0000000:1, </w:t>
      </w:r>
      <w:r>
        <w:rPr>
          <w:rFonts w:ascii="Times New Roman" w:hAnsi="Times New Roman"/>
          <w:b w:val="false"/>
          <w:sz w:val="26"/>
          <w:szCs w:val="26"/>
        </w:rPr>
        <w:t>Тверская область, р-н. Сандовский;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- 69:28:0100401:102, Тверская область, Сандовский район, Большемалининское сельское поселение, д. Нивицы;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- 69:28:0100401:218, Российская Федерация, Тверская область, Сандовский муниципальный район, с/п Большемалинское;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- 69:28:0100401:223, Российская Федерация Тверская область, м.о. Сандовский;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- 69:28:0000000:45, обл. Тверская, р-н Сандовский, с/п Большемалинское, колхоз "Победа";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- 69:28:0000010:833, Российская Федерация, Тверская область, Сандовский район, Большемалинское с/п., колхоз «Победа»;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- 69:28:0000010:834, Российская Федерация, земельный участок расположен в северной части кадастрового квартала 69:28:0000010;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  <w:lang w:val="en-US"/>
        </w:rPr>
      </w:pPr>
      <w:r>
        <w:rPr>
          <w:rFonts w:ascii="Times New Roman" w:hAnsi="Times New Roman"/>
          <w:b w:val="false"/>
          <w:sz w:val="26"/>
          <w:szCs w:val="26"/>
          <w:lang w:val="en-US"/>
        </w:rPr>
      </w:r>
      <w:bookmarkStart w:id="0" w:name="_GoBack"/>
      <w:bookmarkStart w:id="1" w:name="_GoBack"/>
      <w:bookmarkEnd w:id="1"/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- 69:28:0000010:843, Российская Федерация, Тверская область, м.о. Сандовский, колхоз «Победа»;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- 69:28:0000010:844, Российская Федерация, Тверская область, м.о. Сандовский, колхоз «Победа»;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- 69:28:0000010:845, Российская Федерация, Тверская область, м.о. Сандовский, колхоз «Победа»;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- 69:28:0000010:851, Российская Федерация, Тверская область, м.о. Сандовский, в районе д. Нивицы;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- 69:28:0000010:852, Российская Федерация, Тверская область, м.о. Сандовский, в районе д. Нивицы;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- 69:28:0000010:866, Российская Федерация, Тверская область, Сандовский муниципальный округ, в районе д. Нивицы;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- 69:28:0000010:869, Российская Федерация, Тверская область, Сандовский муниципальный округ, в районе д. Нивицы;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- 69:28:0000010:860, Российская Федерация, Тверская область, м.р-н Сандовский, с.п. Большемалинское, колхоз Победа;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- 69:28:0000010:304, Тверская обл, р-н Сандовский, с/пос Большемалинское, клх. "Победа";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- 69:28:0000010:222, Российская Федерация, Тверская область, м.о. Сандовский;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- 69:28:0000000:18, Тверская область, р-н. Сандовский;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- 69:28:0000010:682, установлено относительно ориентира, расположенного в границах участка. Почтовый адрес ориентира: обл. Тверская, р-н Сандовский, с/п Большемалинское, колхоз "Победа";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- 69:28:0000010, Российская Федерация, Тверская обл., Сандовский м.о.</w:t>
      </w:r>
    </w:p>
    <w:p>
      <w:pPr>
        <w:pStyle w:val="Heading2"/>
        <w:shd w:val="clear" w:color="auto" w:fill="FFFFFF"/>
        <w:spacing w:lineRule="auto" w:line="240" w:beforeAutospacing="0" w:before="0" w:afterAutospacing="0" w:after="24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24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Общая площадь публичного сервитута: 126510 кв.м.</w:t>
      </w:r>
    </w:p>
    <w:p>
      <w:pPr>
        <w:pStyle w:val="Heading2"/>
        <w:shd w:val="clear" w:color="auto" w:fill="FFFFFF"/>
        <w:spacing w:lineRule="auto" w:line="240" w:beforeAutospacing="0" w:before="0" w:afterAutospacing="0" w:after="24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Срок публичного сервитута: с 01.07.2024 по 03.11.2025.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Цель публичного сервитута: Для складирования строительных и иных материалов, размещения временных или вспомогательных сооружений (включая ограждения, бытовки, навесы) и строительной  техники,  которые  необходимы   для  обеспечения  реконструкции, объекта   федерального  значения  «МНПП «Ярославль-Приморск 2» DN700, 228-231 км, МВ р.Ратыня. ЯРНУ. Реконструкция».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2. Утвердить границы публичного сервитута согласно приложению к настоящему постановлению.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3. Установить плату за публичный сервитут в соответствии с действующим законодательством.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4. Рекомендовать ООО «Транснефть-Балтика»: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соблюдать требования к осуществлению деятельности, для обеспечения которой устанавливается публичный сервитут, на земельных участках, указанных в пункте 1 настоящего постановления;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привести земельные участки в состояние пригодное для его использования в соответствии с разрешенным использованием после прекращения действия публичного сервитута.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5.Администрации Сандовского муниципального округа в установленном законе порядке: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опубликовать настоящее постановление в порядке, установленном для официального опубликования (обнародования)   муниципальных правовых актов Сандовского муниципального округа;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>- направить копию настоящего постановления в федеральный орган исполнительной власти, уполномоченной Правительством Российской Федерации  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 в  Едином государственном реестре недвижимости.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6. Настоящее постановление вступает в силу со дня его подписания </w:t>
      </w:r>
      <w:r>
        <w:rPr>
          <w:rFonts w:ascii="Times New Roman" w:hAnsi="Times New Roman"/>
          <w:b w:val="false"/>
          <w:sz w:val="26"/>
          <w:szCs w:val="26"/>
        </w:rPr>
        <w:t>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b w:val="false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</w:r>
    </w:p>
    <w:p>
      <w:pPr>
        <w:pStyle w:val="Heading2"/>
        <w:shd w:val="clear" w:color="auto" w:fill="FFFFFF"/>
        <w:spacing w:lineRule="auto" w:line="240" w:beforeAutospacing="0" w:before="0" w:afterAutospacing="0" w:after="0"/>
        <w:ind w:firstLine="68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sz w:val="26"/>
          <w:szCs w:val="26"/>
        </w:rPr>
        <w:t xml:space="preserve">  </w:t>
      </w:r>
    </w:p>
    <w:p>
      <w:pPr>
        <w:pStyle w:val="Normal"/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Глава  Сандовского муниципального округа                                      О.Н. Грязнов</w:t>
      </w:r>
    </w:p>
    <w:p>
      <w:pPr>
        <w:pStyle w:val="Normal"/>
        <w:spacing w:lineRule="auto" w:line="240" w:before="0" w:after="20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170" w:right="850" w:gutter="0" w:header="0" w:top="568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a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Normal"/>
    <w:qFormat/>
    <w:pPr>
      <w:spacing w:beforeAutospacing="1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e1a8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e1a8b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e1a8b"/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LibreOffice/7.6.0.3$Windows_x86 LibreOffice_project/69edd8b8ebc41d00b4de3915dc82f8f0fc3b6265</Application>
  <AppVersion>15.0000</AppVersion>
  <Pages>3</Pages>
  <Words>560</Words>
  <Characters>4571</Characters>
  <CharactersWithSpaces>5249</CharactersWithSpaces>
  <Paragraphs>44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2023-10-17T08:55:00Z</dcterms:created>
  <dc:creator>User</dc:creator>
  <dc:description/>
  <dc:language>ru-RU</dc:language>
  <cp:lastModifiedBy/>
  <cp:lastPrinted>2023-10-20T14:00:41Z</cp:lastPrinted>
  <dcterms:modified xsi:type="dcterms:W3CDTF">2023-10-31T15:17:37Z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