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ubtitle"/>
        <w:spacing w:before="240" w:after="120"/>
        <w:jc w:val="center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>АДМИНИСТРАЦИЯ</w:t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 xml:space="preserve"> </w:t>
      </w:r>
      <w:r>
        <w:rPr>
          <w:b/>
          <w:i w:val="false"/>
          <w:sz w:val="40"/>
        </w:rPr>
        <w:t>САНДОВСКОГО МУНИЦИПАЛЬНОГО ОКРУГА</w:t>
      </w:r>
    </w:p>
    <w:p>
      <w:pPr>
        <w:pStyle w:val="Subtitle"/>
        <w:spacing w:lineRule="auto" w:line="240" w:before="0" w:after="0"/>
        <w:jc w:val="center"/>
        <w:rPr>
          <w:sz w:val="28"/>
          <w:szCs w:val="28"/>
        </w:rPr>
      </w:pPr>
      <w:r>
        <w:rPr>
          <w:b w:val="false"/>
          <w:i w:val="false"/>
          <w:sz w:val="28"/>
          <w:szCs w:val="28"/>
        </w:rPr>
        <w:t>Тверская область</w:t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>ПОСТАНОВЛЕНИЕ</w:t>
      </w:r>
    </w:p>
    <w:p>
      <w:pPr>
        <w:pStyle w:val="Subtitle"/>
        <w:spacing w:lineRule="auto" w:line="240" w:before="0" w:after="0"/>
        <w:jc w:val="center"/>
        <w:rPr>
          <w:sz w:val="28"/>
          <w:szCs w:val="28"/>
        </w:rPr>
      </w:pPr>
      <w:r>
        <w:rPr>
          <w:b w:val="false"/>
          <w:i w:val="false"/>
          <w:sz w:val="28"/>
          <w:szCs w:val="28"/>
        </w:rPr>
        <w:t>29.09.2023                                             п. Сандово                                                     № 23</w:t>
      </w:r>
      <w:r>
        <w:rPr>
          <w:b w:val="false"/>
          <w:i w:val="false"/>
          <w:sz w:val="28"/>
          <w:szCs w:val="28"/>
        </w:rPr>
        <w:t>4</w:t>
      </w:r>
    </w:p>
    <w:p>
      <w:pPr>
        <w:pStyle w:val="BodyText"/>
        <w:spacing w:lineRule="auto" w:line="240" w:before="0" w:after="0"/>
        <w:jc w:val="center"/>
        <w:rPr>
          <w:sz w:val="28"/>
          <w:szCs w:val="28"/>
        </w:rPr>
      </w:pPr>
      <w:r>
        <w:rPr/>
      </w:r>
    </w:p>
    <w:p>
      <w:pPr>
        <w:pStyle w:val="BodyText"/>
        <w:spacing w:lineRule="auto" w:line="240" w:before="0" w:after="0"/>
        <w:jc w:val="center"/>
        <w:rPr>
          <w:sz w:val="28"/>
          <w:szCs w:val="28"/>
        </w:rPr>
      </w:pPr>
      <w:r>
        <w:rPr/>
      </w:r>
    </w:p>
    <w:p>
      <w:pPr>
        <w:pStyle w:val="Normal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Об утверждении Основных направлений</w:t>
      </w:r>
    </w:p>
    <w:p>
      <w:pPr>
        <w:pStyle w:val="Normal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бюджетной и налоговой политики Сандовского</w:t>
      </w:r>
    </w:p>
    <w:p>
      <w:pPr>
        <w:pStyle w:val="Normal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муниципального округа Тверской области</w:t>
      </w:r>
    </w:p>
    <w:p>
      <w:pPr>
        <w:pStyle w:val="Normal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на 2024 год и на плановый период 2025 и 2026 годов</w:t>
      </w:r>
    </w:p>
    <w:p>
      <w:pPr>
        <w:pStyle w:val="Normal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firstLine="709" w:right="0"/>
        <w:jc w:val="both"/>
        <w:rPr/>
      </w:pPr>
      <w:r>
        <w:rPr>
          <w:sz w:val="28"/>
          <w:szCs w:val="28"/>
        </w:rPr>
        <w:t>В соответствии со статьей 172 Бюджетного кодекса Российской Федерации, в целях разработки проекта решения Думы Сандовского  муниципального округа о «О бюджете Сандовского муниципального округа Тверской области на 2024 год и на плановый период 2025 и 2026 годов» Администрация Сандовского муниципального округа</w:t>
      </w:r>
    </w:p>
    <w:p>
      <w:pPr>
        <w:pStyle w:val="Normal"/>
        <w:ind w:firstLine="709" w:right="0"/>
        <w:jc w:val="center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709" w:right="0"/>
        <w:jc w:val="both"/>
        <w:rPr/>
      </w:pPr>
      <w:r>
        <w:rPr>
          <w:sz w:val="28"/>
          <w:szCs w:val="28"/>
        </w:rPr>
        <w:t>1. Утвердить Основные направления бюджетной и налоговой политики Сандовского муниципального округа Тверской области на 2024 год и на плановый период 2025 и 2026 годов (прилагаются).</w:t>
      </w:r>
    </w:p>
    <w:p>
      <w:pPr>
        <w:pStyle w:val="Normal"/>
        <w:ind w:firstLine="567" w:right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 Субъектам бюджетного планирования бюджета муниципального округа при планировании бюджетных ассигнований на 2024 год и на плановый период 2025 и 2026 годов руководствоваться Основными направлениями бюджетной и налоговой политики Сандовского муниципального округа Тверской области на 2024 год и на плановый период 2025 и 2026 годов.</w:t>
      </w:r>
    </w:p>
    <w:p>
      <w:pPr>
        <w:pStyle w:val="Normal"/>
        <w:ind w:firstLine="709" w:right="0"/>
        <w:jc w:val="both"/>
        <w:rPr/>
      </w:pPr>
      <w:r>
        <w:rPr>
          <w:sz w:val="28"/>
          <w:szCs w:val="28"/>
        </w:rPr>
        <w:t>3. Разместить настоящее постановление на официальном сайте Сандовского муниципального округа в информационно-телекоммуникационной сети «Интернет».</w:t>
      </w:r>
    </w:p>
    <w:p>
      <w:pPr>
        <w:pStyle w:val="Normal"/>
        <w:ind w:firstLine="709" w:right="0"/>
        <w:jc w:val="both"/>
        <w:rPr/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Сандовского муниципального округа, руководителя Финансового управления Кузнецову Т.А.</w:t>
      </w:r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Глава Сандовского муниципального округа                           О.Н.Грязнов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tbl>
      <w:tblPr>
        <w:tblW w:w="455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9"/>
      </w:tblGrid>
      <w:tr>
        <w:trPr>
          <w:trHeight w:val="1078" w:hRule="atLeast"/>
        </w:trPr>
        <w:tc>
          <w:tcPr>
            <w:tcW w:w="4559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 xml:space="preserve">                                           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 xml:space="preserve">Приложение к </w:t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постановлению Администрации Сандовского муниципального</w:t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округа Тверской области</w:t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29.09.2023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направления</w:t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бюджетной и налоговой политики Сандовского муниципального округа Тверской области </w:t>
      </w:r>
      <w:r>
        <w:rPr>
          <w:rFonts w:cs="Times New Roman" w:ascii="Times New Roman" w:hAnsi="Times New Roman"/>
          <w:bCs w:val="false"/>
          <w:sz w:val="24"/>
          <w:szCs w:val="24"/>
        </w:rPr>
        <w:t>на 2024 год и на плановый период 2025 и 2026 годов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Основные направления бюджетной и налоговой политики Сандовского муниципального округа Тверской области на 2024 год и на плановый период 2025 и 2026 годов разработаны в соответствии со статьей 17 решения Думы Сандовского муниципального округа от 06 октября 2020 г. № 25 «Об утверждении Положения о бюджетном процессе в Сандовском муниципальном округе Тверской  области» с целью определения условий и основных подходов к формированию проекта бюджета Сандовского муниципального округа Тверской области (далее-бюджет муниципального округа) на 2024 год и на плановый период 2025 и 2026 годов, обеспечения прозрачности и открытости бюджетного планирования.</w:t>
      </w:r>
    </w:p>
    <w:p>
      <w:pPr>
        <w:pStyle w:val="Normal"/>
        <w:ind w:firstLine="709" w:right="0"/>
        <w:jc w:val="both"/>
        <w:rPr/>
      </w:pPr>
      <w:r>
        <w:rPr>
          <w:sz w:val="24"/>
          <w:szCs w:val="24"/>
        </w:rPr>
        <w:t xml:space="preserve">Бюджетная  и налоговая политика Сандовского муниципального округа Тверской области  на среднесрочную перспективу сохраняет преемственность бюджетной  и налоговой политики предыдущего планового периода и ориентирована в первую очередь на реализацию основных задач, определенных ежегодными посланиями Президента Российской Федерации Федеральному Собранию Российской Федерации, Указами Президента Российской Федерации от 7 мая 2012 г. и Указами Президента Российской Федерации от 7 мая 2018 г. № 204 "О национальных целях и стратегических задачах развития Российской Федерации на период до 2024 года" и от 21 июля 2020 г. № 474 «О национальных целях развития Российской Федерации на период до 2030 года». </w:t>
      </w:r>
    </w:p>
    <w:p>
      <w:pPr>
        <w:pStyle w:val="Normal"/>
        <w:ind w:firstLine="709" w:right="0"/>
        <w:jc w:val="both"/>
        <w:rPr>
          <w:sz w:val="24"/>
          <w:szCs w:val="24"/>
        </w:rPr>
      </w:pPr>
      <w:r>
        <w:rPr/>
      </w:r>
      <w:bookmarkStart w:id="0" w:name="Par41"/>
      <w:bookmarkStart w:id="1" w:name="Par41"/>
      <w:bookmarkEnd w:id="1"/>
    </w:p>
    <w:p>
      <w:pPr>
        <w:pStyle w:val="Normal"/>
        <w:widowControl w:val="false"/>
        <w:autoSpaceDE w:val="false"/>
        <w:ind w:firstLine="709" w:right="0"/>
        <w:jc w:val="center"/>
        <w:rPr/>
      </w:pPr>
      <w:r>
        <w:rPr>
          <w:b/>
          <w:sz w:val="24"/>
          <w:szCs w:val="24"/>
        </w:rPr>
        <w:t>1.Основные итоги реализации бюджетной и налоговой политики Сандовского муниципального округа Тверской области</w:t>
      </w:r>
    </w:p>
    <w:p>
      <w:pPr>
        <w:pStyle w:val="Normal"/>
        <w:widowControl w:val="false"/>
        <w:autoSpaceDE w:val="false"/>
        <w:ind w:firstLine="709" w:right="0"/>
        <w:jc w:val="center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2020 –2022 годах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Бюджетная и налоговая политика Сандовского муниципального округа Тверской области направлена на решение задач бюджетной консолидации в целях обеспечения устойчивости и сбалансированности консолидированного бюджета муниципального образования.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ind w:firstLine="709" w:right="0"/>
        <w:jc w:val="center"/>
        <w:rPr/>
      </w:pPr>
      <w:r>
        <w:rPr>
          <w:sz w:val="24"/>
          <w:szCs w:val="24"/>
        </w:rPr>
        <w:t>Динамика основных показателей консолидированного бюджета Сандовского муниципального округа Тверской области</w:t>
      </w:r>
    </w:p>
    <w:p>
      <w:pPr>
        <w:pStyle w:val="Normal"/>
        <w:widowControl w:val="false"/>
        <w:autoSpaceDE w:val="false"/>
        <w:ind w:firstLine="709" w:right="0"/>
        <w:jc w:val="center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 2020-2022 годы</w:t>
      </w:r>
    </w:p>
    <w:p>
      <w:pPr>
        <w:pStyle w:val="Normal"/>
        <w:widowControl w:val="false"/>
        <w:autoSpaceDE w:val="false"/>
        <w:ind w:firstLine="709" w:right="0"/>
        <w:jc w:val="right"/>
        <w:rPr/>
      </w:pPr>
      <w:r>
        <w:rPr/>
        <w:t>млн. рублей</w:t>
      </w:r>
    </w:p>
    <w:tbl>
      <w:tblPr>
        <w:tblW w:w="12022" w:type="dxa"/>
        <w:jc w:val="left"/>
        <w:tblInd w:w="-2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290"/>
        <w:gridCol w:w="1590"/>
        <w:gridCol w:w="1245"/>
        <w:gridCol w:w="1590"/>
        <w:gridCol w:w="3067"/>
      </w:tblGrid>
      <w:tr>
        <w:trPr>
          <w:tblHeader w:val="true"/>
          <w:trHeight w:val="425" w:hRule="atLeast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i/>
                <w:sz w:val="24"/>
                <w:szCs w:val="24"/>
              </w:rPr>
              <w:t>2020 год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темп роста,%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2022 год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i/>
                <w:sz w:val="24"/>
                <w:szCs w:val="24"/>
              </w:rPr>
              <w:t>темп роста,%</w:t>
            </w:r>
          </w:p>
        </w:tc>
      </w:tr>
      <w:tr>
        <w:trPr/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110,8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103,0</w:t>
            </w:r>
          </w:p>
        </w:tc>
      </w:tr>
      <w:tr>
        <w:trPr/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в том числе налоговые и неналоговые доходы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116,3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hanging="0" w:left="113" w:right="17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114,7</w:t>
            </w:r>
          </w:p>
        </w:tc>
      </w:tr>
      <w:tr>
        <w:trPr/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109,2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164,9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97,2</w:t>
            </w:r>
          </w:p>
        </w:tc>
      </w:tr>
      <w:tr>
        <w:trPr/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112,3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100,5</w:t>
            </w:r>
          </w:p>
        </w:tc>
      </w:tr>
      <w:tr>
        <w:trPr/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Дефицит /Профицит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186,1</w:t>
            </w:r>
          </w:p>
        </w:tc>
      </w:tr>
    </w:tbl>
    <w:p>
      <w:pPr>
        <w:pStyle w:val="ConsPlusNormal"/>
        <w:widowControl/>
        <w:numPr>
          <w:ilvl w:val="0"/>
          <w:numId w:val="0"/>
        </w:numPr>
        <w:ind w:firstLine="72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Налоговые и неналоговые доходы  бюджета Сандовского муниципального округа Тверской области в 2022 году получены в объеме 86,6 млн. рублей, и увеличились на 1,2 млн. рублей или на 14,7 процента. 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color w:val="0D0D0D"/>
          <w:sz w:val="24"/>
          <w:szCs w:val="24"/>
        </w:rPr>
        <w:t>Расходы  бюджета Сандовского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района Тверской области в 2022 году исполнены в объеме 238,1 млн. рублей и увеличились с  2021 года на 27,2  млн. рублей или на 13,0% .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Наибольший удельный вес в расходах бюджета Сандовского муниципального округа Тверской области занимают расходы на отрасли социальной сферы – ежегодно более 60% в общем объеме расходов.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Администрацией Сандовского муниципального округа Тверской области обеспечено своевременное и в полном объеме исполнение всех принятых расходных обязательств, в том числе по сохранению параметров по уровню заработной платы отдельных категорий работников социальной сферы, установленных Указами Президента Российской Федерации от 7 мая 2012 г., реализации национальных проектов, капитальному ремонту объектов социальной инфраструктуры, строительству новых объектов.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На территории округа реализуются мероприятия в рамках национальных проектов: 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в том числе: «Жилье и городская среда»; «Образование», «Культура», «Безопасность дорожного движения». </w:t>
      </w:r>
    </w:p>
    <w:p>
      <w:pPr>
        <w:pStyle w:val="Normal"/>
        <w:tabs>
          <w:tab w:val="clear" w:pos="720"/>
          <w:tab w:val="left" w:pos="0" w:leader="none"/>
        </w:tabs>
        <w:ind w:firstLine="709" w:right="0"/>
        <w:jc w:val="both"/>
        <w:rPr/>
      </w:pPr>
      <w:r>
        <w:rPr>
          <w:sz w:val="24"/>
          <w:szCs w:val="24"/>
        </w:rPr>
        <w:t>В рамках инициативного бюджетирования: в 2022 году выполнен 1 проект, в  2023 году реализуются 5 проектов.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В целях повышения качества бюджетного планирования, повышения результативности и эффективности использования средств проводилась работа по следующим направлениям: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формирование и исполнение бюджета в программном формате на основе муниципальных программ Сандовского муниципального округа Тверской области;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проведение оценки эффективности муниципальных программ Сандовского муниципального округа Тверской области, предусматривающей комплексный подход к оценке программ с учетом качества их формирования и эффективности реализации;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- ежегодное формирование муниципальных заданий на оказание муниципальных услуг (выполнение работ) в отношении муниципальных учреждений Сандовского муниципального округа Тверской области; 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осуществление комплекса мероприятий по недопущению образования просроченной кредиторской задолженности;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обеспечение открытости и прозрачности информации о бюджетном процессе, об исполнении бюджета, о бюджетных и социально-экономических показателях посредством информационно-телекоммуникационной сети "Интернет" в доступной форме;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ежегодное проведение публичных слушаний по годовому отчету об исполнении бюджета и по проекту бюджета на очередной финансовый год и на плановый период в целях повышения информационной открытости деятельности Администрации Сандовского муниципального округа и выявления общественного мнения по вопросам формирования и исполнения бюджета.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Исполнение бюджета Сандовского муниципального округа за 8 месяцев 2023 года составило по доходам    180,9 млн. рублей или    113,3   % к аналогичному периоду 2022 года, по расходам 151,8 млн. рублей или  106,1% к аналогичному периоду прошлого года..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Поступление налоговых и неналоговых доходов в бюджет Сандовского муниципального округа Тверской области за 8 месяцев 2023 года составило 55,8 млн. рублей, что на 2,4 млн. рублей или на 4,5% выше поступлений аналогичного периода 2022 года.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Style19"/>
        <w:jc w:val="center"/>
        <w:rPr/>
      </w:pPr>
      <w:r>
        <w:rPr>
          <w:b/>
          <w:bCs/>
          <w:sz w:val="24"/>
          <w:szCs w:val="24"/>
        </w:rPr>
        <w:t>2. Основные направления налоговой политики</w:t>
      </w:r>
      <w:r>
        <w:rPr>
          <w:sz w:val="24"/>
          <w:szCs w:val="24"/>
        </w:rPr>
        <w:t xml:space="preserve"> </w:t>
      </w:r>
    </w:p>
    <w:p>
      <w:pPr>
        <w:pStyle w:val="Style19"/>
        <w:ind w:firstLine="375" w:right="0"/>
        <w:jc w:val="both"/>
        <w:rPr/>
      </w:pP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Налоговая политика администрации Сандовского муниципального округа в 2024-2026 годах, как и в предыдущие годы, будет направлена на обеспечение поступления в бюджет муниципального округа всех доходных источников в запланированных объемах, а также дополнительных доходов</w:t>
      </w:r>
      <w:r>
        <w:rPr>
          <w:color w:val="FF0000"/>
          <w:sz w:val="24"/>
          <w:szCs w:val="24"/>
        </w:rPr>
        <w:t>.</w:t>
      </w:r>
    </w:p>
    <w:p>
      <w:pPr>
        <w:pStyle w:val="Style19"/>
        <w:ind w:firstLine="375" w:right="0"/>
        <w:jc w:val="both"/>
        <w:rPr/>
      </w:pPr>
      <w:r>
        <w:rPr>
          <w:color w:val="FF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Основными направлениями налоговой политики на 2024-2026 годы определены:</w:t>
      </w:r>
    </w:p>
    <w:p>
      <w:pPr>
        <w:pStyle w:val="Style19"/>
        <w:ind w:firstLine="375" w:right="0"/>
        <w:jc w:val="both"/>
        <w:rPr/>
      </w:pPr>
      <w:r>
        <w:rPr>
          <w:color w:val="000000"/>
          <w:sz w:val="24"/>
          <w:szCs w:val="24"/>
        </w:rPr>
        <w:t>- увеличение налогового потенциала Сандовского муниципального округа Тверской области за счет налогового стимулирования деловой активности, привлечения инвестиций;</w:t>
      </w:r>
    </w:p>
    <w:p>
      <w:pPr>
        <w:pStyle w:val="Style19"/>
        <w:ind w:firstLine="375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проведение работы обоснованности и эффективности применения налоговых льгот, отмена неэффективных и невостребованных льгот;</w:t>
      </w:r>
    </w:p>
    <w:p>
      <w:pPr>
        <w:pStyle w:val="Style19"/>
        <w:ind w:firstLine="375" w:right="0"/>
        <w:jc w:val="both"/>
        <w:rPr/>
      </w:pPr>
      <w:r>
        <w:rPr>
          <w:color w:val="000000"/>
          <w:sz w:val="24"/>
          <w:szCs w:val="24"/>
        </w:rPr>
        <w:t>- 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доходам, активизация претензионно-исковой деятельности;</w:t>
      </w:r>
    </w:p>
    <w:p>
      <w:pPr>
        <w:pStyle w:val="Style19"/>
        <w:ind w:firstLine="375" w:right="0"/>
        <w:jc w:val="both"/>
        <w:rPr/>
      </w:pPr>
      <w:r>
        <w:rPr>
          <w:color w:val="000000"/>
          <w:sz w:val="24"/>
          <w:szCs w:val="24"/>
        </w:rPr>
        <w:t>- проведение мероприятий по повышению эффективности управления муниципальной собственностью, в том числе выявление земельных участков, используемых не по целевому назначению.</w:t>
      </w:r>
    </w:p>
    <w:p>
      <w:pPr>
        <w:pStyle w:val="Style19"/>
        <w:ind w:firstLine="375" w:right="0"/>
        <w:jc w:val="both"/>
        <w:rPr/>
      </w:pPr>
      <w:r>
        <w:rPr>
          <w:color w:val="000000"/>
          <w:sz w:val="24"/>
          <w:szCs w:val="24"/>
        </w:rPr>
        <w:t xml:space="preserve">В 2024-2026 годах продолжение проведение работ по оценке эффективности налоговых расходов, отмене неэффективных налоговых льгот. Будут сохранены подходы к установлению налоговых льгот при условии положительной оценки их эффективности. </w:t>
      </w:r>
    </w:p>
    <w:p>
      <w:pPr>
        <w:pStyle w:val="BodyText"/>
        <w:ind w:firstLine="709" w:left="0" w:right="51"/>
        <w:rPr/>
      </w:pPr>
      <w:r>
        <w:rPr>
          <w:sz w:val="24"/>
          <w:szCs w:val="24"/>
        </w:rPr>
        <w:t>Формирование налоговых и неналоговых доходов будет основываться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вступивших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законодательства:</w:t>
      </w:r>
    </w:p>
    <w:p>
      <w:pPr>
        <w:pStyle w:val="BodyText"/>
        <w:ind w:firstLine="709" w:left="0" w:right="51"/>
        <w:rPr/>
      </w:pPr>
      <w:r>
        <w:rPr>
          <w:sz w:val="24"/>
          <w:szCs w:val="24"/>
        </w:rPr>
        <w:t>- с 1 января 2024г. увеличивается предельный размер социального вычета по НДФЛ в части расходов на обучение детей с 50 тыс. рублей до 110 тыс. рублей на каждого ребенка, а также по иным расходам (на собственное образование, медицинские услуги и лекарства, физкультурно-оздоровительные услуги) со 120 тыс. рублей до 150 тыс. рублей;</w:t>
      </w:r>
    </w:p>
    <w:p>
      <w:pPr>
        <w:pStyle w:val="BodyText"/>
        <w:ind w:firstLine="709" w:left="0" w:right="51"/>
        <w:rPr/>
      </w:pPr>
      <w:r>
        <w:rPr>
          <w:sz w:val="24"/>
          <w:szCs w:val="24"/>
        </w:rPr>
        <w:t>-планируется установление на соответствующий год коэффициентов индексации арендной платы за земельные участки, находящиеся в муниципальной собственности Сандовского муниципального округа Тверской области, и земельные участки, муниципальная собственность на которые не разграничена, а также арендной платы за объекты нежилого фонда муниципальной собственности на уровне планируемого среднегодового индекса потребительских цен.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3.Основные направления бюджетной политики</w:t>
      </w:r>
    </w:p>
    <w:p>
      <w:pPr>
        <w:pStyle w:val="ConsPlusNormal"/>
        <w:ind w:firstLine="540" w:right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Основной задачей бюджетной политики на 2024-2026 годы остается обеспечение сбалансированности и устойчивости бюджета муниципального округа, в том числе за счет:</w:t>
      </w:r>
    </w:p>
    <w:p>
      <w:pPr>
        <w:pStyle w:val="ConsPlusNormal"/>
        <w:ind w:firstLine="540" w:right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формирования реалистичного прогноза поступления налоговых и неналоговых доходов;</w:t>
      </w:r>
    </w:p>
    <w:p>
      <w:pPr>
        <w:pStyle w:val="ConsPlusNormal"/>
        <w:ind w:firstLine="540" w:right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обеспечения финансовыми ресурсами в первую очередь действующих расходных обязательств, осуществления взвешенного подхода к принятию новых расходных обязательств;</w:t>
      </w:r>
    </w:p>
    <w:p>
      <w:pPr>
        <w:pStyle w:val="ConsPlusNormal"/>
        <w:widowControl/>
        <w:numPr>
          <w:ilvl w:val="0"/>
          <w:numId w:val="0"/>
        </w:numPr>
        <w:ind w:firstLine="567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проведения ответственной и взвешенной долговой политики, реализации мер, направленных на обеспечение безопасного уровня долговой нагрузки на бюджет муниципального округа.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В условиях ограниченности бюджетных ресурсов следующей задачей бюджетной политики является осуществление мер по повышению эффективности использования бюджетных средств, в том числе за счет: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концентрации финансовых ресурсов на реализации приоритетных направлений расходов, на достижении целей и результатов национальных проектов;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повышения операционной эффективности использования бюджетных средств;</w:t>
      </w:r>
    </w:p>
    <w:p>
      <w:pPr>
        <w:pStyle w:val="ConsPlusNormal"/>
        <w:widowControl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повышения качества оказываемых муниципальных услуг (выполнения работ);</w:t>
      </w:r>
    </w:p>
    <w:p>
      <w:pPr>
        <w:pStyle w:val="ConsPlusNormal"/>
        <w:widowControl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внедрения системы управления налоговыми расходами;</w:t>
      </w:r>
    </w:p>
    <w:p>
      <w:pPr>
        <w:pStyle w:val="ConsPlusNormal"/>
        <w:widowControl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повышения эффективности предоставления субсидий, в том числе грантов в форме субсидий, юридическим лицам, индивидуальным предпринимателям, физическим лицам- производителям товаров, работ, услуг посредством мониторинга достижения показателей результатов их предоставления.</w:t>
      </w:r>
    </w:p>
    <w:p>
      <w:pPr>
        <w:pStyle w:val="ConsPlusNormal"/>
        <w:widowControl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Особое внимание будет уделяться повышению эффективности муниципального управления, а именно:</w:t>
      </w:r>
    </w:p>
    <w:p>
      <w:pPr>
        <w:pStyle w:val="ConsPlusNormal"/>
        <w:widowControl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- повышению эффективности и результативности реализуемых в Сандовском муниципальном округе муниципальных программ;</w:t>
      </w:r>
    </w:p>
    <w:p>
      <w:pPr>
        <w:pStyle w:val="ConsPlusNormal"/>
        <w:widowControl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- повышению эффективности процедур проведения закупок;</w:t>
      </w:r>
    </w:p>
    <w:p>
      <w:pPr>
        <w:pStyle w:val="ConsPlusNormal"/>
        <w:widowControl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-реализации принципов открытости и прозрачности управления муниципальными финансами.</w:t>
      </w:r>
    </w:p>
    <w:p>
      <w:pPr>
        <w:pStyle w:val="ConsPlusNormal"/>
        <w:widowControl/>
        <w:numPr>
          <w:ilvl w:val="0"/>
          <w:numId w:val="0"/>
        </w:numPr>
        <w:ind w:firstLine="720"/>
        <w:jc w:val="center"/>
        <w:outlineLvl w:val="1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4.Основные подходы к формированию бюджета </w:t>
      </w:r>
    </w:p>
    <w:p>
      <w:pPr>
        <w:pStyle w:val="ConsPlusNormal"/>
        <w:widowControl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муниципального округа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color w:val="0D0D0D"/>
          <w:sz w:val="24"/>
          <w:szCs w:val="24"/>
        </w:rPr>
        <w:t>В основу формирования бюджетных назначений по доходным источникам бюджета Сандовского муниципального округа Тверской области будет принят прогноз социально-экономического развития Сандовского муниципального округа Тверской области на среднесрочный период (на 2024 год и на плановый период 2025 и 2026 годов), предусматривающий динамику развития экономики Сандовского муниципального округа Тверской области в среднесрочной перспективе и рост основных экономических показателей, влияющих на налоговую базу.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Бюджетная политика в части расходов на 2024-2026 годы в первую очередь будет ориентирована на безусловное достижение приоритетов и целей, определенных в Указах Президента Российской Федерации от 7 мая 2018 г. № 204 «О национальных целях и стратегических задачах развития Российской Федерации на период до 2024 года» и от 21 июля 2020г. № 474 «О национальных целях развития Российской Федерации на период до 2030 года». 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В среднесрочной перспективе сохраняются следующие приоритеты бюджетных расходов: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обеспечение сохранения параметров по уровню заработной платы отдельных категорий работников социальной сферы, установленных   Указом Президента Российской Федерации от 7 мая 2012 г. № 597 «О мероприятиях по реализации государственной социальной политики»;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реализация национальных проектов, достижение их целей, показателей и результатов;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реализация мероприятий по формированию комфортной городской среды;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обеспечение бесперебойного функционирования объектов жизнеобеспечения, транспортной, социальной инфраструктуры, объектов образования, культуры;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реализация мероприятий, включающих развитие коммунальной, инженерной и социальной инфраструктуры и направленных на повышение качества жизни населения, проживающего в сельской местности, в том числе по комплексному развитию сельских территорий.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center"/>
        <w:outlineLvl w:val="1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5.Политика в области управления муниципальным долгом 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Сандовского муниципального округа Тверской области в 2024–2026 годах будет направлена на обеспечение устойчивого и сбалансированного исполнения бюджета муниципального округа и нацелена на сохранение безопасного уровня долговой нагрузки. 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Основными задачами реализации долговой политики являются: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поддержание объема дефицита, объема муниципального долга в пределах ограничений, установленных Бюджетным кодексом Российской Федерации;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- обеспечение открытости и прозрачности информации о муниципальном долге Сандовского муниципального округа Тверской области. 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firstLine="709" w:right="0"/>
        <w:jc w:val="center"/>
        <w:rPr/>
      </w:pPr>
      <w:r>
        <w:rPr>
          <w:b/>
          <w:bCs/>
          <w:sz w:val="24"/>
          <w:szCs w:val="24"/>
        </w:rPr>
        <w:t xml:space="preserve">6.Повышение эффективности управления исполнением </w:t>
      </w:r>
    </w:p>
    <w:p>
      <w:pPr>
        <w:pStyle w:val="Normal"/>
        <w:ind w:firstLine="709" w:right="0"/>
        <w:jc w:val="center"/>
        <w:rPr/>
      </w:pPr>
      <w:r>
        <w:rPr>
          <w:b/>
          <w:bCs/>
          <w:sz w:val="24"/>
          <w:szCs w:val="24"/>
        </w:rPr>
        <w:t>бюджета муниципального округа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В рамках повышения эффективности кассового исполнения бюджета муниципального округа планируется: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совершенствование процедуры управления средствами на едином счете бюджета, обеспечение непрерывности и своевременности выплат;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обеспечение эффективного и полного использования бюджетных средств.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firstLine="709" w:right="0"/>
        <w:jc w:val="center"/>
        <w:rPr/>
      </w:pPr>
      <w:r>
        <w:rPr>
          <w:b/>
          <w:bCs/>
          <w:sz w:val="24"/>
          <w:szCs w:val="24"/>
        </w:rPr>
        <w:t xml:space="preserve">7. Политика в сфере финансового контроля и контроля </w:t>
      </w:r>
    </w:p>
    <w:p>
      <w:pPr>
        <w:pStyle w:val="Normal"/>
        <w:ind w:firstLine="709" w:right="0"/>
        <w:jc w:val="center"/>
        <w:rPr/>
      </w:pPr>
      <w:r>
        <w:rPr>
          <w:b/>
          <w:bCs/>
          <w:sz w:val="24"/>
          <w:szCs w:val="24"/>
        </w:rPr>
        <w:t>в сфере закупок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Деятельность Администрации Сандовского муниципального округа Тверской области в сфере финансового контроля и контроля в сфере закупок будет направлена на: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осуществление контрольной деятельности в целях: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обеспечения соблюдения положений правовых актов, регулирующих бюджетные правоотношения и правоотношения в сфере закупок;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соблюдение условий муниципальных контрактов и договоров (соглашений) о предоставлении средств из бюджета муниципального округа;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проведение контрольных мероприятий, направленных на предупреждение и предотвращение нарушений бюджетного законодательства и законодательства о контрактной системе в сфере закупок;</w:t>
      </w:r>
    </w:p>
    <w:p>
      <w:pPr>
        <w:pStyle w:val="ConsPlusNormal"/>
        <w:widowControl/>
        <w:numPr>
          <w:ilvl w:val="0"/>
          <w:numId w:val="0"/>
        </w:numPr>
        <w:ind w:firstLine="709" w:right="0"/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- проведение профилактической работы по предупреждению нарушений бюджетного законодательства и законодательства о контрактной системе в сфере закупок.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Сандовского </w:t>
      </w:r>
    </w:p>
    <w:p>
      <w:pPr>
        <w:pStyle w:val="Normal"/>
        <w:rPr/>
      </w:pPr>
      <w:r>
        <w:rPr>
          <w:sz w:val="24"/>
          <w:szCs w:val="24"/>
        </w:rPr>
        <w:t>муниципального округа                                                                                Г.И.Горохова</w:t>
      </w:r>
    </w:p>
    <w:p>
      <w:pPr>
        <w:pStyle w:val="Standard"/>
        <w:widowControl w:val="false"/>
        <w:tabs>
          <w:tab w:val="clear" w:pos="720"/>
          <w:tab w:val="left" w:pos="675" w:leader="none"/>
        </w:tabs>
        <w:suppressAutoHyphens w:val="true"/>
        <w:bidi w:val="0"/>
        <w:jc w:val="left"/>
        <w:textAlignment w:val="baseline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</w:r>
    </w:p>
    <w:p>
      <w:pPr>
        <w:pStyle w:val="Standard"/>
        <w:widowControl w:val="false"/>
        <w:tabs>
          <w:tab w:val="clear" w:pos="720"/>
          <w:tab w:val="left" w:pos="675" w:leader="none"/>
        </w:tabs>
        <w:suppressAutoHyphens w:val="true"/>
        <w:bidi w:val="0"/>
        <w:jc w:val="left"/>
        <w:textAlignment w:val="baseline"/>
        <w:rPr>
          <w:rFonts w:eastAsia="Times New Roman" w:cs="Times New Roman"/>
          <w:sz w:val="28"/>
        </w:rPr>
      </w:pPr>
      <w:r>
        <w:rPr>
          <w:b w:val="false"/>
          <w:bCs w:val="false"/>
          <w:i w:val="false"/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938" w:right="76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numPr>
        <w:ilvl w:val="0"/>
        <w:numId w:val="1"/>
      </w:numPr>
      <w:suppressAutoHyphens w:val="true"/>
      <w:bidi w:val="0"/>
      <w:spacing w:lineRule="auto" w:line="240" w:before="0" w:after="0"/>
      <w:ind w:hanging="0" w:left="0" w:right="0"/>
      <w:jc w:val="left"/>
      <w:outlineLvl w:val="0"/>
    </w:pPr>
    <w:rPr>
      <w:rFonts w:ascii="Arial" w:hAnsi="Arial" w:eastAsia="NSimSun" w:cs="Mangal"/>
      <w:color w:val="000000"/>
      <w:spacing w:val="0"/>
      <w:kern w:val="0"/>
      <w:sz w:val="44"/>
      <w:szCs w:val="20"/>
      <w:lang w:val="ru-RU" w:eastAsia="zh-CN" w:bidi="hi-IN"/>
    </w:rPr>
  </w:style>
  <w:style w:type="paragraph" w:styleId="Heading2">
    <w:name w:val="Heading 2"/>
    <w:basedOn w:val="1111111111111111111"/>
    <w:next w:val="BodyText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Heading3">
    <w:name w:val="Heading 3"/>
    <w:basedOn w:val="1111111111111111111"/>
    <w:next w:val="BodyText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sz w:val="28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List1">
    <w:name w:val="List1"/>
    <w:basedOn w:val="Textbody1"/>
    <w:qFormat/>
    <w:rPr/>
  </w:style>
  <w:style w:type="character" w:styleId="Contents2">
    <w:name w:val="Contents 2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111">
    <w:name w:val="WW-Absatz-Standardschriftart1111111"/>
    <w:link w:val="WW-Absatz-Standardschriftart1111111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">
    <w:name w:val="WW-Absatz-Standardschriftart111"/>
    <w:link w:val="WW-Absatz-Standardschriftart1112"/>
    <w:qFormat/>
    <w:rPr>
      <w:rFonts w:ascii="Times New Roman" w:hAnsi="Times New Roman"/>
      <w:color w:val="000000"/>
      <w:spacing w:val="0"/>
      <w:sz w:val="20"/>
    </w:rPr>
  </w:style>
  <w:style w:type="character" w:styleId="WW8Num2z0">
    <w:name w:val="WW8Num2z0"/>
    <w:link w:val="WW8Num2z01"/>
    <w:qFormat/>
    <w:rPr>
      <w:rFonts w:ascii="Times New Roman" w:hAnsi="Times New Roman"/>
      <w:color w:val="000000"/>
      <w:spacing w:val="0"/>
      <w:sz w:val="20"/>
    </w:rPr>
  </w:style>
  <w:style w:type="character" w:styleId="Contents4">
    <w:name w:val="Contents 4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">
    <w:name w:val="WW-Absatz-Standardschriftart1"/>
    <w:link w:val="WW-Absatz-Standardschriftart12"/>
    <w:qFormat/>
    <w:rPr>
      <w:rFonts w:ascii="Times New Roman" w:hAnsi="Times New Roman"/>
      <w:color w:val="000000"/>
      <w:spacing w:val="0"/>
      <w:sz w:val="20"/>
    </w:rPr>
  </w:style>
  <w:style w:type="character" w:styleId="Title1">
    <w:name w:val="Title1"/>
    <w:basedOn w:val="Style10"/>
    <w:qFormat/>
    <w:rPr>
      <w:b/>
      <w:sz w:val="56"/>
    </w:rPr>
  </w:style>
  <w:style w:type="character" w:styleId="Style9">
    <w:name w:val="Символ нумерации"/>
    <w:link w:val="12"/>
    <w:qFormat/>
    <w:rPr>
      <w:rFonts w:ascii="Times New Roman" w:hAnsi="Times New Roman"/>
      <w:color w:val="000000"/>
      <w:spacing w:val="0"/>
      <w:sz w:val="20"/>
    </w:rPr>
  </w:style>
  <w:style w:type="character" w:styleId="WW8Num1z0">
    <w:name w:val="WW8Num1z0"/>
    <w:link w:val="WW8Num1z01"/>
    <w:qFormat/>
    <w:rPr>
      <w:rFonts w:ascii="Times New Roman" w:hAnsi="Times New Roman"/>
      <w:color w:val="000000"/>
      <w:spacing w:val="0"/>
      <w:sz w:val="20"/>
    </w:rPr>
  </w:style>
  <w:style w:type="character" w:styleId="Contents6">
    <w:name w:val="Contents 6"/>
    <w:link w:val="Contents62"/>
    <w:qFormat/>
    <w:rPr/>
  </w:style>
  <w:style w:type="character" w:styleId="WW8Num1z5">
    <w:name w:val="WW8Num1z5"/>
    <w:link w:val="WW8Num1z51"/>
    <w:qFormat/>
    <w:rPr>
      <w:rFonts w:ascii="Times New Roman" w:hAnsi="Times New Roman"/>
      <w:color w:val="000000"/>
      <w:spacing w:val="0"/>
      <w:sz w:val="20"/>
    </w:rPr>
  </w:style>
  <w:style w:type="character" w:styleId="Contents61">
    <w:name w:val="Contents 61"/>
    <w:qFormat/>
    <w:rPr>
      <w:rFonts w:ascii="Times New Roman" w:hAnsi="Times New Roman"/>
      <w:color w:val="000000"/>
      <w:spacing w:val="0"/>
      <w:sz w:val="20"/>
    </w:rPr>
  </w:style>
  <w:style w:type="character" w:styleId="Heading41">
    <w:name w:val="Heading 41"/>
    <w:qFormat/>
    <w:rPr>
      <w:rFonts w:ascii="XO Thames" w:hAnsi="XO Thames"/>
      <w:b/>
      <w:color w:val="595959"/>
      <w:spacing w:val="0"/>
      <w:sz w:val="26"/>
    </w:rPr>
  </w:style>
  <w:style w:type="character" w:styleId="Contents7">
    <w:name w:val="Contents 7"/>
    <w:qFormat/>
    <w:rPr>
      <w:rFonts w:ascii="Times New Roman" w:hAnsi="Times New Roman"/>
      <w:color w:val="000000"/>
      <w:spacing w:val="0"/>
      <w:sz w:val="20"/>
    </w:rPr>
  </w:style>
  <w:style w:type="character" w:styleId="Textbody">
    <w:name w:val="Text body"/>
    <w:qFormat/>
    <w:rPr/>
  </w:style>
  <w:style w:type="character" w:styleId="Contents8">
    <w:name w:val="Contents 8"/>
    <w:link w:val="Contents82"/>
    <w:qFormat/>
    <w:rPr/>
  </w:style>
  <w:style w:type="character" w:styleId="Contents71">
    <w:name w:val="Contents 71"/>
    <w:link w:val="Contents72"/>
    <w:qFormat/>
    <w:rPr/>
  </w:style>
  <w:style w:type="character" w:styleId="WW8Num1z7">
    <w:name w:val="WW8Num1z7"/>
    <w:link w:val="WW8Num1z71"/>
    <w:qFormat/>
    <w:rPr>
      <w:rFonts w:ascii="Times New Roman" w:hAnsi="Times New Roman"/>
      <w:color w:val="000000"/>
      <w:spacing w:val="0"/>
      <w:sz w:val="20"/>
    </w:rPr>
  </w:style>
  <w:style w:type="character" w:styleId="Heading31">
    <w:name w:val="Heading 31"/>
    <w:basedOn w:val="Style10"/>
    <w:qFormat/>
    <w:rPr>
      <w:b/>
      <w:sz w:val="28"/>
    </w:rPr>
  </w:style>
  <w:style w:type="character" w:styleId="Style10">
    <w:name w:val="Заголовок"/>
    <w:link w:val="1111111111111111111"/>
    <w:qFormat/>
    <w:rPr>
      <w:rFonts w:ascii="Arial" w:hAnsi="Arial"/>
      <w:sz w:val="44"/>
    </w:rPr>
  </w:style>
  <w:style w:type="character" w:styleId="Style11">
    <w:name w:val="Блочная цитата"/>
    <w:link w:val="13"/>
    <w:qFormat/>
    <w:rPr/>
  </w:style>
  <w:style w:type="character" w:styleId="WW8Num1z6">
    <w:name w:val="WW8Num1z6"/>
    <w:link w:val="WW8Num1z61"/>
    <w:qFormat/>
    <w:rPr>
      <w:rFonts w:ascii="Times New Roman" w:hAnsi="Times New Roman"/>
      <w:color w:val="000000"/>
      <w:spacing w:val="0"/>
      <w:sz w:val="20"/>
    </w:rPr>
  </w:style>
  <w:style w:type="character" w:styleId="Textbody1">
    <w:name w:val="Text body1"/>
    <w:link w:val="Textbody2"/>
    <w:qFormat/>
    <w:rPr/>
  </w:style>
  <w:style w:type="character" w:styleId="Style12">
    <w:name w:val="Колонтитул"/>
    <w:link w:val="14"/>
    <w:qFormat/>
    <w:rPr>
      <w:rFonts w:ascii="XO Thames" w:hAnsi="XO Thames"/>
      <w:color w:val="000000"/>
      <w:spacing w:val="0"/>
      <w:sz w:val="20"/>
    </w:rPr>
  </w:style>
  <w:style w:type="character" w:styleId="WW8Num1z8">
    <w:name w:val="WW8Num1z8"/>
    <w:link w:val="WW8Num1z8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">
    <w:name w:val="WW-Absatz-Standardschriftart"/>
    <w:link w:val="WW-Absatz-Standardschriftart2"/>
    <w:qFormat/>
    <w:rPr>
      <w:rFonts w:ascii="Times New Roman" w:hAnsi="Times New Roman"/>
      <w:color w:val="000000"/>
      <w:spacing w:val="0"/>
      <w:sz w:val="20"/>
    </w:rPr>
  </w:style>
  <w:style w:type="character" w:styleId="WW8Num2z7">
    <w:name w:val="WW8Num2z7"/>
    <w:link w:val="WW8Num2z71"/>
    <w:qFormat/>
    <w:rPr>
      <w:rFonts w:ascii="Times New Roman" w:hAnsi="Times New Roman"/>
      <w:color w:val="000000"/>
      <w:spacing w:val="0"/>
      <w:sz w:val="20"/>
    </w:rPr>
  </w:style>
  <w:style w:type="character" w:styleId="WW8Num2z5">
    <w:name w:val="WW8Num2z5"/>
    <w:link w:val="WW8Num2z51"/>
    <w:qFormat/>
    <w:rPr>
      <w:rFonts w:ascii="Times New Roman" w:hAnsi="Times New Roman"/>
      <w:color w:val="000000"/>
      <w:spacing w:val="0"/>
      <w:sz w:val="20"/>
    </w:rPr>
  </w:style>
  <w:style w:type="character" w:styleId="WW8Num2z3">
    <w:name w:val="WW8Num2z3"/>
    <w:link w:val="WW8Num2z31"/>
    <w:qFormat/>
    <w:rPr>
      <w:rFonts w:ascii="Times New Roman" w:hAnsi="Times New Roman"/>
      <w:color w:val="000000"/>
      <w:spacing w:val="0"/>
      <w:sz w:val="20"/>
    </w:rPr>
  </w:style>
  <w:style w:type="character" w:styleId="Style13">
    <w:name w:val="Указатель"/>
    <w:link w:val="1111111111111111112"/>
    <w:qFormat/>
    <w:rPr/>
  </w:style>
  <w:style w:type="character" w:styleId="WW8Num1z2">
    <w:name w:val="WW8Num1z2"/>
    <w:link w:val="WW8Num1z21"/>
    <w:qFormat/>
    <w:rPr>
      <w:rFonts w:ascii="Times New Roman" w:hAnsi="Times New Roman"/>
      <w:color w:val="000000"/>
      <w:spacing w:val="0"/>
      <w:sz w:val="20"/>
    </w:rPr>
  </w:style>
  <w:style w:type="character" w:styleId="WW8Num2z6">
    <w:name w:val="WW8Num2z6"/>
    <w:link w:val="WW8Num2z61"/>
    <w:qFormat/>
    <w:rPr>
      <w:rFonts w:ascii="Times New Roman" w:hAnsi="Times New Roman"/>
      <w:color w:val="000000"/>
      <w:spacing w:val="0"/>
      <w:sz w:val="20"/>
    </w:rPr>
  </w:style>
  <w:style w:type="character" w:styleId="Caption1">
    <w:name w:val="caption1"/>
    <w:link w:val="Caption3"/>
    <w:qFormat/>
    <w:rPr>
      <w:i/>
      <w:sz w:val="24"/>
    </w:rPr>
  </w:style>
  <w:style w:type="character" w:styleId="Contents3">
    <w:name w:val="Contents 3"/>
    <w:qFormat/>
    <w:rPr>
      <w:rFonts w:ascii="Times New Roman" w:hAnsi="Times New Roman"/>
      <w:color w:val="000000"/>
      <w:spacing w:val="0"/>
      <w:sz w:val="20"/>
    </w:rPr>
  </w:style>
  <w:style w:type="character" w:styleId="WW8Num1z3">
    <w:name w:val="WW8Num1z3"/>
    <w:link w:val="WW8Num1z31"/>
    <w:qFormat/>
    <w:rPr>
      <w:rFonts w:ascii="Times New Roman" w:hAnsi="Times New Roman"/>
      <w:color w:val="000000"/>
      <w:spacing w:val="0"/>
      <w:sz w:val="20"/>
    </w:rPr>
  </w:style>
  <w:style w:type="character" w:styleId="WW8Num2z4">
    <w:name w:val="WW8Num2z4"/>
    <w:link w:val="WW8Num2z41"/>
    <w:qFormat/>
    <w:rPr>
      <w:rFonts w:ascii="Times New Roman" w:hAnsi="Times New Roman"/>
      <w:color w:val="000000"/>
      <w:spacing w:val="0"/>
      <w:sz w:val="20"/>
    </w:rPr>
  </w:style>
  <w:style w:type="character" w:styleId="Style14">
    <w:name w:val="Заголовок таблицы"/>
    <w:basedOn w:val="Style17"/>
    <w:link w:val="16"/>
    <w:qFormat/>
    <w:rPr>
      <w:b/>
    </w:rPr>
  </w:style>
  <w:style w:type="character" w:styleId="WW-Absatz-Standardschriftart111111">
    <w:name w:val="WW-Absatz-Standardschriftart111111"/>
    <w:link w:val="WW-Absatz-Standardschriftart1111112"/>
    <w:qFormat/>
    <w:rPr>
      <w:rFonts w:ascii="Times New Roman" w:hAnsi="Times New Roman"/>
      <w:color w:val="000000"/>
      <w:spacing w:val="0"/>
      <w:sz w:val="20"/>
    </w:rPr>
  </w:style>
  <w:style w:type="character" w:styleId="Heading21">
    <w:name w:val="Heading 21"/>
    <w:basedOn w:val="Style10"/>
    <w:qFormat/>
    <w:rPr>
      <w:b/>
      <w:sz w:val="32"/>
    </w:rPr>
  </w:style>
  <w:style w:type="character" w:styleId="Heading11">
    <w:name w:val="Heading 11"/>
    <w:qFormat/>
    <w:rPr>
      <w:rFonts w:ascii="Arial" w:hAnsi="Arial"/>
      <w:sz w:val="44"/>
    </w:rPr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Subtitle1">
    <w:name w:val="Subtitle1"/>
    <w:qFormat/>
    <w:rPr>
      <w:b/>
      <w:sz w:val="44"/>
    </w:rPr>
  </w:style>
  <w:style w:type="character" w:styleId="Contents21">
    <w:name w:val="Contents 21"/>
    <w:link w:val="Contents22"/>
    <w:qFormat/>
    <w:rPr/>
  </w:style>
  <w:style w:type="character" w:styleId="Hyperlink">
    <w:name w:val="Hyperlink"/>
    <w:link w:val="-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Contents1">
    <w:name w:val="Contents 1"/>
    <w:qFormat/>
    <w:rPr>
      <w:rFonts w:ascii="XO Thames" w:hAnsi="XO Thames"/>
      <w:b/>
      <w:color w:val="000000"/>
      <w:spacing w:val="0"/>
      <w:sz w:val="20"/>
    </w:rPr>
  </w:style>
  <w:style w:type="character" w:styleId="Contents31">
    <w:name w:val="Contents 31"/>
    <w:link w:val="Contents32"/>
    <w:qFormat/>
    <w:rPr/>
  </w:style>
  <w:style w:type="character" w:styleId="Contents9">
    <w:name w:val="Contents 9"/>
    <w:link w:val="Contents92"/>
    <w:qFormat/>
    <w:rPr/>
  </w:style>
  <w:style w:type="character" w:styleId="Absatz-Standardschriftart">
    <w:name w:val="Absatz-Standardschriftart"/>
    <w:link w:val="Absatz-Standardschriftart1"/>
    <w:qFormat/>
    <w:rPr>
      <w:rFonts w:ascii="Times New Roman" w:hAnsi="Times New Roman"/>
      <w:color w:val="000000"/>
      <w:spacing w:val="0"/>
      <w:sz w:val="20"/>
    </w:rPr>
  </w:style>
  <w:style w:type="character" w:styleId="WW8Num2z2">
    <w:name w:val="WW8Num2z2"/>
    <w:link w:val="WW8Num2z21"/>
    <w:qFormat/>
    <w:rPr>
      <w:rFonts w:ascii="Times New Roman" w:hAnsi="Times New Roman"/>
      <w:color w:val="000000"/>
      <w:spacing w:val="0"/>
      <w:sz w:val="20"/>
    </w:rPr>
  </w:style>
  <w:style w:type="character" w:styleId="Style15">
    <w:name w:val="Текст выноски"/>
    <w:link w:val="17"/>
    <w:qFormat/>
    <w:rPr>
      <w:rFonts w:ascii="Tahoma" w:hAnsi="Tahoma"/>
      <w:sz w:val="16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Toc10">
    <w:name w:val="toc 10"/>
    <w:link w:val="Toc101"/>
    <w:qFormat/>
    <w:rPr>
      <w:rFonts w:ascii="Times New Roman" w:hAnsi="Times New Roman"/>
      <w:color w:val="000000"/>
      <w:spacing w:val="0"/>
      <w:sz w:val="20"/>
    </w:rPr>
  </w:style>
  <w:style w:type="character" w:styleId="DefaultParagraphFont">
    <w:name w:val="Default Paragraph Font"/>
    <w:link w:val="DefaultParagraphFont1"/>
    <w:qFormat/>
    <w:rPr>
      <w:rFonts w:ascii="Times New Roman" w:hAnsi="Times New Roman"/>
      <w:color w:val="000000"/>
      <w:spacing w:val="0"/>
      <w:sz w:val="20"/>
    </w:rPr>
  </w:style>
  <w:style w:type="character" w:styleId="Contents11">
    <w:name w:val="Contents 11"/>
    <w:link w:val="Contents12"/>
    <w:qFormat/>
    <w:rPr>
      <w:rFonts w:ascii="XO Thames" w:hAnsi="XO Thames"/>
      <w:b/>
    </w:rPr>
  </w:style>
  <w:style w:type="character" w:styleId="Contents41">
    <w:name w:val="Contents 41"/>
    <w:link w:val="Contents42"/>
    <w:qFormat/>
    <w:rPr/>
  </w:style>
  <w:style w:type="character" w:styleId="Style16">
    <w:name w:val="Основной шрифт абзаца"/>
    <w:link w:val="18"/>
    <w:qFormat/>
    <w:rPr>
      <w:rFonts w:ascii="Times New Roman" w:hAnsi="Times New Roman"/>
      <w:color w:val="000000"/>
      <w:spacing w:val="0"/>
      <w:sz w:val="20"/>
    </w:rPr>
  </w:style>
  <w:style w:type="character" w:styleId="Contents91">
    <w:name w:val="Contents 91"/>
    <w:qFormat/>
    <w:rPr>
      <w:rFonts w:ascii="Times New Roman" w:hAnsi="Times New Roman"/>
      <w:color w:val="000000"/>
      <w:spacing w:val="0"/>
      <w:sz w:val="20"/>
    </w:rPr>
  </w:style>
  <w:style w:type="character" w:styleId="WW8Num1z4">
    <w:name w:val="WW8Num1z4"/>
    <w:link w:val="WW8Num1z41"/>
    <w:qFormat/>
    <w:rPr>
      <w:rFonts w:ascii="Times New Roman" w:hAnsi="Times New Roman"/>
      <w:color w:val="000000"/>
      <w:spacing w:val="0"/>
      <w:sz w:val="20"/>
    </w:rPr>
  </w:style>
  <w:style w:type="character" w:styleId="Contents81">
    <w:name w:val="Contents 81"/>
    <w:qFormat/>
    <w:rPr>
      <w:rFonts w:ascii="Times New Roman" w:hAnsi="Times New Roman"/>
      <w:color w:val="000000"/>
      <w:spacing w:val="0"/>
      <w:sz w:val="20"/>
    </w:rPr>
  </w:style>
  <w:style w:type="character" w:styleId="WW8Num2z1">
    <w:name w:val="WW8Num2z1"/>
    <w:link w:val="WW8Num2z11"/>
    <w:qFormat/>
    <w:rPr>
      <w:rFonts w:ascii="Times New Roman" w:hAnsi="Times New Roman"/>
      <w:color w:val="000000"/>
      <w:spacing w:val="0"/>
      <w:sz w:val="20"/>
    </w:rPr>
  </w:style>
  <w:style w:type="character" w:styleId="Style17">
    <w:name w:val="Содержимое таблицы"/>
    <w:link w:val="15"/>
    <w:qFormat/>
    <w:rPr/>
  </w:style>
  <w:style w:type="character" w:styleId="WW-Absatz-Standardschriftart1111">
    <w:name w:val="WW-Absatz-Standardschriftart1111"/>
    <w:link w:val="WW-Absatz-Standardschriftart11112"/>
    <w:qFormat/>
    <w:rPr>
      <w:rFonts w:ascii="Times New Roman" w:hAnsi="Times New Roman"/>
      <w:color w:val="000000"/>
      <w:spacing w:val="0"/>
      <w:sz w:val="20"/>
    </w:rPr>
  </w:style>
  <w:style w:type="character" w:styleId="Contents5">
    <w:name w:val="Contents 5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">
    <w:name w:val="WW-Absatz-Standardschriftart11"/>
    <w:link w:val="WW-Absatz-Standardschriftart112"/>
    <w:qFormat/>
    <w:rPr>
      <w:rFonts w:ascii="Times New Roman" w:hAnsi="Times New Roman"/>
      <w:color w:val="000000"/>
      <w:spacing w:val="0"/>
      <w:sz w:val="20"/>
    </w:rPr>
  </w:style>
  <w:style w:type="character" w:styleId="Contents51">
    <w:name w:val="Contents 51"/>
    <w:link w:val="Contents52"/>
    <w:qFormat/>
    <w:rPr/>
  </w:style>
  <w:style w:type="character" w:styleId="Textbodyindent">
    <w:name w:val="Text body indent"/>
    <w:link w:val="Textbodyindent2"/>
    <w:qFormat/>
    <w:rPr>
      <w:sz w:val="28"/>
    </w:rPr>
  </w:style>
  <w:style w:type="character" w:styleId="Style18">
    <w:name w:val="Текст выноски Знак"/>
    <w:basedOn w:val="Style16"/>
    <w:link w:val="19"/>
    <w:qFormat/>
    <w:rPr>
      <w:rFonts w:ascii="Tahoma" w:hAnsi="Tahoma"/>
      <w:sz w:val="16"/>
    </w:rPr>
  </w:style>
  <w:style w:type="character" w:styleId="Textbodyindent1">
    <w:name w:val="Text body indent1"/>
    <w:qFormat/>
    <w:rPr>
      <w:sz w:val="28"/>
    </w:rPr>
  </w:style>
  <w:style w:type="character" w:styleId="WW8Num2z8">
    <w:name w:val="WW8Num2z8"/>
    <w:link w:val="WW8Num2z81"/>
    <w:qFormat/>
    <w:rPr>
      <w:rFonts w:ascii="Times New Roman" w:hAnsi="Times New Roman"/>
      <w:color w:val="000000"/>
      <w:spacing w:val="0"/>
      <w:sz w:val="20"/>
    </w:rPr>
  </w:style>
  <w:style w:type="character" w:styleId="WW8Num1z1">
    <w:name w:val="WW8Num1z1"/>
    <w:link w:val="WW8Num1z1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1">
    <w:name w:val="WW-Absatz-Standardschriftart11111"/>
    <w:link w:val="WW-Absatz-Standardschriftart111112"/>
    <w:qFormat/>
    <w:rPr>
      <w:rFonts w:ascii="Times New Roman" w:hAnsi="Times New Roman"/>
      <w:color w:val="000000"/>
      <w:spacing w:val="0"/>
      <w:sz w:val="20"/>
    </w:rPr>
  </w:style>
  <w:style w:type="character" w:styleId="Caption2">
    <w:name w:val="Caption2"/>
    <w:qFormat/>
    <w:rPr>
      <w:i/>
      <w:sz w:val="24"/>
    </w:rPr>
  </w:style>
  <w:style w:type="character" w:styleId="Apple-converted-space">
    <w:name w:val="apple-converted-space"/>
    <w:basedOn w:val="DefaultParagraphFont"/>
    <w:qFormat/>
    <w:rPr/>
  </w:style>
  <w:style w:type="paragraph" w:styleId="1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Textbody2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111">
    <w:name w:val="Заголовок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2">
    <w:name w:val="Указатель11"/>
    <w:basedOn w:val="Normal"/>
    <w:qFormat/>
    <w:pPr>
      <w:suppressLineNumbers/>
    </w:pPr>
    <w:rPr>
      <w:rFonts w:cs="Mangal"/>
    </w:rPr>
  </w:style>
  <w:style w:type="paragraph" w:styleId="1111">
    <w:name w:val="Заголовок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2">
    <w:name w:val="Указатель111"/>
    <w:basedOn w:val="Normal"/>
    <w:qFormat/>
    <w:pPr>
      <w:suppressLineNumbers/>
    </w:pPr>
    <w:rPr>
      <w:rFonts w:cs="Mangal"/>
    </w:rPr>
  </w:style>
  <w:style w:type="paragraph" w:styleId="11111">
    <w:name w:val="Заголовок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2">
    <w:name w:val="Указатель1111"/>
    <w:basedOn w:val="Normal"/>
    <w:qFormat/>
    <w:pPr>
      <w:suppressLineNumbers/>
    </w:pPr>
    <w:rPr>
      <w:rFonts w:cs="Mangal"/>
    </w:rPr>
  </w:style>
  <w:style w:type="paragraph" w:styleId="111111">
    <w:name w:val="Заголовок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2">
    <w:name w:val="Указатель11111"/>
    <w:basedOn w:val="Normal"/>
    <w:qFormat/>
    <w:pPr>
      <w:suppressLineNumbers/>
    </w:pPr>
    <w:rPr>
      <w:rFonts w:cs="Mangal"/>
    </w:rPr>
  </w:style>
  <w:style w:type="paragraph" w:styleId="1111111">
    <w:name w:val="Заголовок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2">
    <w:name w:val="Указатель111111"/>
    <w:basedOn w:val="Normal"/>
    <w:qFormat/>
    <w:pPr>
      <w:suppressLineNumbers/>
    </w:pPr>
    <w:rPr>
      <w:rFonts w:cs="Mangal"/>
    </w:rPr>
  </w:style>
  <w:style w:type="paragraph" w:styleId="11111111">
    <w:name w:val="Заголовок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2">
    <w:name w:val="Указатель1111111"/>
    <w:basedOn w:val="Normal"/>
    <w:qFormat/>
    <w:pPr>
      <w:suppressLineNumbers/>
    </w:pPr>
    <w:rPr>
      <w:rFonts w:cs="Mangal"/>
    </w:rPr>
  </w:style>
  <w:style w:type="paragraph" w:styleId="111111111">
    <w:name w:val="Заголовок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2">
    <w:name w:val="Указатель11111111"/>
    <w:basedOn w:val="Normal"/>
    <w:qFormat/>
    <w:pPr>
      <w:suppressLineNumbers/>
    </w:pPr>
    <w:rPr>
      <w:rFonts w:cs="Mangal"/>
    </w:rPr>
  </w:style>
  <w:style w:type="paragraph" w:styleId="1111111111">
    <w:name w:val="Заголовок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2">
    <w:name w:val="Указатель111111111"/>
    <w:basedOn w:val="Normal"/>
    <w:qFormat/>
    <w:pPr>
      <w:suppressLineNumbers/>
    </w:pPr>
    <w:rPr>
      <w:rFonts w:cs="Mangal"/>
    </w:rPr>
  </w:style>
  <w:style w:type="paragraph" w:styleId="11111111111">
    <w:name w:val="Заголовок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2">
    <w:name w:val="Указатель1111111111"/>
    <w:basedOn w:val="Normal"/>
    <w:qFormat/>
    <w:pPr>
      <w:suppressLineNumbers/>
    </w:pPr>
    <w:rPr>
      <w:rFonts w:cs="Mangal"/>
    </w:rPr>
  </w:style>
  <w:style w:type="paragraph" w:styleId="111111111111">
    <w:name w:val="Заголовок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2">
    <w:name w:val="Указатель11111111111"/>
    <w:basedOn w:val="Normal"/>
    <w:qFormat/>
    <w:pPr>
      <w:suppressLineNumbers/>
    </w:pPr>
    <w:rPr>
      <w:rFonts w:cs="Mangal"/>
    </w:rPr>
  </w:style>
  <w:style w:type="paragraph" w:styleId="1111111111111">
    <w:name w:val="Заголовок1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12">
    <w:name w:val="Указатель111111111111"/>
    <w:basedOn w:val="Normal"/>
    <w:qFormat/>
    <w:pPr>
      <w:suppressLineNumbers/>
    </w:pPr>
    <w:rPr>
      <w:rFonts w:cs="Mangal"/>
    </w:rPr>
  </w:style>
  <w:style w:type="paragraph" w:styleId="11111111111111">
    <w:name w:val="Заголовок11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112">
    <w:name w:val="Указатель1111111111111"/>
    <w:basedOn w:val="Normal"/>
    <w:qFormat/>
    <w:pPr>
      <w:suppressLineNumbers/>
    </w:pPr>
    <w:rPr>
      <w:rFonts w:cs="Mangal"/>
    </w:rPr>
  </w:style>
  <w:style w:type="paragraph" w:styleId="111111111111111">
    <w:name w:val="Заголовок111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1112">
    <w:name w:val="Указатель11111111111111"/>
    <w:basedOn w:val="Normal"/>
    <w:qFormat/>
    <w:pPr>
      <w:suppressLineNumbers/>
    </w:pPr>
    <w:rPr>
      <w:rFonts w:cs="Mangal"/>
    </w:rPr>
  </w:style>
  <w:style w:type="paragraph" w:styleId="1111111111111111">
    <w:name w:val="Заголовок1111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11112">
    <w:name w:val="Указатель111111111111111"/>
    <w:basedOn w:val="Normal"/>
    <w:qFormat/>
    <w:pPr>
      <w:suppressLineNumbers/>
    </w:pPr>
    <w:rPr>
      <w:rFonts w:cs="Mangal"/>
    </w:rPr>
  </w:style>
  <w:style w:type="paragraph" w:styleId="11111111111111111">
    <w:name w:val="Заголовок11111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111112">
    <w:name w:val="Указатель1111111111111111"/>
    <w:basedOn w:val="Normal"/>
    <w:qFormat/>
    <w:pPr>
      <w:suppressLineNumbers/>
    </w:pPr>
    <w:rPr>
      <w:rFonts w:cs="Mangal"/>
    </w:rPr>
  </w:style>
  <w:style w:type="paragraph" w:styleId="111111111111111111">
    <w:name w:val="Заголовок1111111111111111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1111111111111112">
    <w:name w:val="Указатель11111111111111111"/>
    <w:basedOn w:val="Normal"/>
    <w:qFormat/>
    <w:pPr>
      <w:suppressLineNumbers/>
    </w:pPr>
    <w:rPr>
      <w:rFonts w:cs="Mangal"/>
    </w:rPr>
  </w:style>
  <w:style w:type="paragraph" w:styleId="1111111111111111111">
    <w:name w:val="Заголовок111111111111111111"/>
    <w:basedOn w:val="Normal"/>
    <w:next w:val="BodyText"/>
    <w:link w:val="Style10"/>
    <w:qFormat/>
    <w:pPr>
      <w:jc w:val="center"/>
    </w:pPr>
    <w:rPr>
      <w:rFonts w:ascii="Arial" w:hAnsi="Arial"/>
      <w:sz w:val="44"/>
    </w:rPr>
  </w:style>
  <w:style w:type="paragraph" w:styleId="1111111111111111112">
    <w:name w:val="Указатель111111111111111111"/>
    <w:basedOn w:val="Normal"/>
    <w:link w:val="Style13"/>
    <w:qFormat/>
    <w:pPr/>
    <w:rPr/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">
    <w:name w:val="WW-Absatz-Standardschriftart11111111"/>
    <w:link w:val="WW-Absatz-Standardschriftart11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2">
    <w:name w:val="WW-Absatz-Standardschriftart1112"/>
    <w:link w:val="WW-Absatz-Standardschriftart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1"/>
    <w:link w:val="WW8Num2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2">
    <w:name w:val="WW-Absatz-Standardschriftart12"/>
    <w:link w:val="WW-Absatz-Standardschriftar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basedOn w:val="1111111111111111111"/>
    <w:next w:val="BodyText"/>
    <w:uiPriority w:val="10"/>
    <w:qFormat/>
    <w:pPr/>
    <w:rPr>
      <w:b/>
      <w:sz w:val="56"/>
    </w:rPr>
  </w:style>
  <w:style w:type="paragraph" w:styleId="12">
    <w:name w:val="Символ нумерации1"/>
    <w:link w:val="Style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1"/>
    <w:link w:val="WW8Num1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62">
    <w:name w:val="Contents 62"/>
    <w:link w:val="Contents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link w:val="WW8Num1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2">
    <w:name w:val="Contents 82"/>
    <w:link w:val="Contents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72">
    <w:name w:val="Contents 72"/>
    <w:link w:val="Contents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1"/>
    <w:link w:val="WW8Num1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3">
    <w:name w:val="Блочная цитата1"/>
    <w:basedOn w:val="Normal"/>
    <w:link w:val="Style11"/>
    <w:qFormat/>
    <w:pPr>
      <w:spacing w:before="0" w:after="283"/>
      <w:ind w:hanging="0" w:left="567" w:right="567"/>
    </w:pPr>
    <w:rPr/>
  </w:style>
  <w:style w:type="paragraph" w:styleId="WW8Num1z61">
    <w:name w:val="WW8Num1z61"/>
    <w:link w:val="WW8Num1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2">
    <w:name w:val="Text body2"/>
    <w:link w:val="Textbody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4">
    <w:name w:val="Колонтитул1"/>
    <w:link w:val="Style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1"/>
    <w:link w:val="WW8Num1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2">
    <w:name w:val="WW-Absatz-Standardschriftart2"/>
    <w:link w:val="WW-Absatz-Standardschriftar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1"/>
    <w:link w:val="WW8Num2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1"/>
    <w:link w:val="WW8Num2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1"/>
    <w:link w:val="WW8Num2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1"/>
    <w:link w:val="WW8Num1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1"/>
    <w:link w:val="WW8Num2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3">
    <w:name w:val="caption3"/>
    <w:basedOn w:val="Normal"/>
    <w:link w:val="Caption1"/>
    <w:qFormat/>
    <w:pPr>
      <w:spacing w:before="120" w:after="120"/>
    </w:pPr>
    <w:rPr>
      <w:i/>
      <w:sz w:val="24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1"/>
    <w:link w:val="WW8Num1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1"/>
    <w:link w:val="WW8Num2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Содержимое таблицы1"/>
    <w:basedOn w:val="Normal"/>
    <w:link w:val="Style17"/>
    <w:qFormat/>
    <w:pPr/>
    <w:rPr/>
  </w:style>
  <w:style w:type="paragraph" w:styleId="16">
    <w:name w:val="Заголовок таблицы1"/>
    <w:basedOn w:val="15"/>
    <w:link w:val="Style14"/>
    <w:qFormat/>
    <w:pPr>
      <w:jc w:val="center"/>
    </w:pPr>
    <w:rPr>
      <w:b/>
    </w:rPr>
  </w:style>
  <w:style w:type="paragraph" w:styleId="WW-Absatz-Standardschriftart1111112">
    <w:name w:val="WW-Absatz-Standardschriftart1111112"/>
    <w:link w:val="WW-Absatz-Standardschriftart1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next w:val="BodyText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b/>
      <w:color w:val="000000"/>
      <w:spacing w:val="0"/>
      <w:kern w:val="0"/>
      <w:sz w:val="44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32">
    <w:name w:val="Contents 32"/>
    <w:link w:val="Contents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92">
    <w:name w:val="Contents 92"/>
    <w:link w:val="Contents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-Standardschriftart1">
    <w:name w:val="Absatz-Standardschriftart1"/>
    <w:link w:val="Absatz-Standardschriftar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1"/>
    <w:link w:val="WW8Num2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Текст выноски1"/>
    <w:basedOn w:val="Normal"/>
    <w:link w:val="Style15"/>
    <w:qFormat/>
    <w:pPr/>
    <w:rPr>
      <w:rFonts w:ascii="Tahoma" w:hAnsi="Tahoma"/>
      <w:sz w:val="16"/>
    </w:rPr>
  </w:style>
  <w:style w:type="paragraph" w:styleId="Toc101">
    <w:name w:val="toc 101"/>
    <w:next w:val="Normal"/>
    <w:link w:val="Toc10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12">
    <w:name w:val="Contents 12"/>
    <w:link w:val="Contents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42">
    <w:name w:val="Contents 42"/>
    <w:link w:val="Contents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Основной шрифт абзаца1"/>
    <w:link w:val="Style1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1"/>
    <w:link w:val="WW8Num1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1"/>
    <w:link w:val="WW8Num2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2">
    <w:name w:val="WW-Absatz-Standardschriftart11112"/>
    <w:link w:val="WW-Absatz-Standardschriftart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2">
    <w:name w:val="WW-Absatz-Standardschriftart112"/>
    <w:link w:val="WW-Absatz-Standardschriftart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52">
    <w:name w:val="Contents 52"/>
    <w:link w:val="Contents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indent2">
    <w:name w:val="Text body indent2"/>
    <w:link w:val="Textbodyinde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19">
    <w:name w:val="Текст выноски Знак1"/>
    <w:basedOn w:val="18"/>
    <w:link w:val="Style18"/>
    <w:qFormat/>
    <w:pPr/>
    <w:rPr>
      <w:rFonts w:ascii="Tahoma" w:hAnsi="Tahoma"/>
      <w:sz w:val="16"/>
    </w:rPr>
  </w:style>
  <w:style w:type="paragraph" w:styleId="BodyTextIndent">
    <w:name w:val="Body Text Indent"/>
    <w:basedOn w:val="Normal"/>
    <w:pPr>
      <w:ind w:firstLine="851" w:left="0" w:right="0"/>
      <w:jc w:val="both"/>
    </w:pPr>
    <w:rPr>
      <w:sz w:val="28"/>
    </w:rPr>
  </w:style>
  <w:style w:type="paragraph" w:styleId="-">
    <w:name w:val="Интернет-ссылка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WW8Num2z81">
    <w:name w:val="WW8Num2z81"/>
    <w:link w:val="WW8Num2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1"/>
    <w:link w:val="WW8Num1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2">
    <w:name w:val="WW-Absatz-Standardschriftart111112"/>
    <w:link w:val="WW-Absatz-Standardschriftart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0"/>
      <w:kern w:val="0"/>
      <w:sz w:val="20"/>
      <w:szCs w:val="20"/>
      <w:lang w:val="ru-RU" w:eastAsia="ru-RU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0"/>
      <w:sz w:val="20"/>
      <w:szCs w:val="20"/>
      <w:lang w:val="ru-RU" w:eastAsia="zh-CN" w:bidi="hi-IN"/>
    </w:rPr>
  </w:style>
  <w:style w:type="paragraph" w:styleId="Western">
    <w:name w:val="western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0"/>
      <w:kern w:val="0"/>
      <w:sz w:val="20"/>
      <w:szCs w:val="20"/>
      <w:lang w:val="ru-RU" w:eastAsia="ru-RU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ru-RU" w:eastAsia="zh-CN" w:bidi="ru-RU"/>
    </w:rPr>
  </w:style>
  <w:style w:type="paragraph" w:styleId="Style19">
    <w:name w:val="Нормальный"/>
    <w:qFormat/>
    <w:pPr>
      <w:widowControl w:val="false"/>
      <w:autoSpaceDE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8"/>
      <w:lang w:val="ru-RU" w:bidi="ar-SA" w:eastAsia="zh-CN"/>
    </w:rPr>
  </w:style>
  <w:style w:type="numbering" w:styleId="WW8Num2">
    <w:name w:val="WW8Num2"/>
    <w:qFormat/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LibreOffice/7.6.0.3$Windows_x86 LibreOffice_project/69edd8b8ebc41d00b4de3915dc82f8f0fc3b6265</Application>
  <AppVersion>15.0000</AppVersion>
  <Pages>5</Pages>
  <Words>1826</Words>
  <Characters>13185</Characters>
  <CharactersWithSpaces>15276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2023-09-07T16:00:02Z</cp:lastPrinted>
  <dcterms:modified xsi:type="dcterms:W3CDTF">2023-10-04T17:35:08Z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