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spacing w:before="240" w:after="120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>АДМИНИСТРАЦИЯ</w:t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tyle31"/>
        <w:spacing w:lineRule="auto" w:line="240" w:before="0" w:after="0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>ПОСТАНОВЛЕНИЕ</w:t>
      </w:r>
    </w:p>
    <w:p>
      <w:pPr>
        <w:pStyle w:val="Style31"/>
        <w:spacing w:lineRule="auto" w:line="240" w:before="0" w:after="0"/>
        <w:jc w:val="both"/>
        <w:rPr/>
      </w:pPr>
      <w:r>
        <w:rPr>
          <w:b w:val="false"/>
          <w:i w:val="false"/>
          <w:sz w:val="28"/>
        </w:rPr>
        <w:t>28</w:t>
      </w:r>
      <w:r>
        <w:rPr>
          <w:b w:val="false"/>
          <w:i w:val="false"/>
          <w:sz w:val="28"/>
        </w:rPr>
        <w:t xml:space="preserve">.03.2022                                               п. Сандово                                                     </w:t>
      </w:r>
      <w:r>
        <w:rPr>
          <w:b w:val="false"/>
          <w:i w:val="false"/>
          <w:sz w:val="28"/>
        </w:rPr>
        <w:t>№ 69</w:t>
      </w:r>
    </w:p>
    <w:p>
      <w:pPr>
        <w:pStyle w:val="Style31"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О создании и поддержании в состоянии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постоянной готовности к использованию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защитных сооружений и других объектов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гражданской обороны Сандовского </w:t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>муниципального округа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326" w:before="1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b w:val="false"/>
          <w:sz w:val="24"/>
        </w:rPr>
        <w:t xml:space="preserve">     </w:t>
      </w:r>
      <w:r>
        <w:rPr>
          <w:b w:val="false"/>
          <w:sz w:val="24"/>
        </w:rPr>
        <w:t xml:space="preserve">В соответствии с федеральными законами от 12.02.1998 </w:t>
      </w:r>
      <w:hyperlink r:id="rId3">
        <w:r>
          <w:rPr>
            <w:b w:val="false"/>
            <w:sz w:val="24"/>
          </w:rPr>
          <w:t>№28-ФЗ</w:t>
        </w:r>
      </w:hyperlink>
      <w:r>
        <w:rPr>
          <w:b w:val="false"/>
          <w:sz w:val="24"/>
        </w:rPr>
        <w:t xml:space="preserve"> «О гражданской обороне», от 21.12.1994 </w:t>
      </w:r>
      <w:hyperlink r:id="rId4">
        <w:r>
          <w:rPr>
            <w:b w:val="false"/>
            <w:sz w:val="24"/>
          </w:rPr>
          <w:t>№68-ФЗ</w:t>
        </w:r>
      </w:hyperlink>
      <w:r>
        <w:rPr>
          <w:b w:val="false"/>
          <w:sz w:val="24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5">
        <w:r>
          <w:rPr>
            <w:b w:val="false"/>
            <w:sz w:val="24"/>
          </w:rPr>
          <w:t>постановлением</w:t>
        </w:r>
      </w:hyperlink>
      <w:r>
        <w:rPr>
          <w:b w:val="false"/>
          <w:sz w:val="24"/>
        </w:rPr>
        <w:t xml:space="preserve"> Правительства Российской Федерации от 29.11.1999 года №1309 «О порядке создания убежищ и иных объектов гражданской обороны», приказом МЧС России от 21.07.2005 </w:t>
      </w:r>
      <w:hyperlink r:id="rId6">
        <w:r>
          <w:rPr>
            <w:b w:val="false"/>
            <w:sz w:val="24"/>
          </w:rPr>
          <w:t>№575</w:t>
        </w:r>
      </w:hyperlink>
      <w:r>
        <w:rPr>
          <w:b w:val="false"/>
          <w:sz w:val="24"/>
        </w:rPr>
        <w:t xml:space="preserve"> «Об утверждении Порядка содержания и использования защитных сооружений гражданской обороны в мирное время» в целях защиты населения от опасностей, возникающих при ведении военных действий или вследствие этих действий, от поражающих факторов, вызванных чрезвычайными ситуациями природного и техногенного  характера,  </w:t>
      </w:r>
      <w:r>
        <w:rPr>
          <w:b w:val="false"/>
          <w:sz w:val="24"/>
        </w:rPr>
        <w:t>А</w:t>
      </w:r>
      <w:r>
        <w:rPr>
          <w:b w:val="false"/>
          <w:sz w:val="24"/>
        </w:rPr>
        <w:t>дминистрация Сандовского муниципального округа</w:t>
      </w:r>
    </w:p>
    <w:p>
      <w:pPr>
        <w:pStyle w:val="Normal"/>
        <w:jc w:val="center"/>
        <w:rPr>
          <w:sz w:val="24"/>
        </w:rPr>
      </w:pPr>
      <w:r>
        <w:rPr/>
      </w:r>
    </w:p>
    <w:p>
      <w:pPr>
        <w:pStyle w:val="Normal"/>
        <w:jc w:val="center"/>
        <w:rPr>
          <w:sz w:val="24"/>
        </w:rPr>
      </w:pPr>
      <w:r>
        <w:rPr>
          <w:b w:val="false"/>
          <w:sz w:val="24"/>
        </w:rPr>
        <w:t>ПОСТАНОВЛЯЕТ:</w:t>
      </w:r>
    </w:p>
    <w:p>
      <w:pPr>
        <w:pStyle w:val="Normal"/>
        <w:ind w:left="0" w:right="0" w:firstLine="709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ind w:left="0" w:right="-2" w:firstLine="709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b w:val="false"/>
          <w:sz w:val="24"/>
        </w:rPr>
        <w:t xml:space="preserve">1.  Утвердить прилагаемое Положение о </w:t>
      </w:r>
      <w:r>
        <w:rPr>
          <w:sz w:val="24"/>
        </w:rPr>
        <w:t xml:space="preserve">создании и поддержании в состоянии постоянной готовности к использованию защитных сооружений и других объектов гражданской обороны </w:t>
      </w:r>
      <w:r>
        <w:rPr>
          <w:b w:val="false"/>
          <w:sz w:val="24"/>
        </w:rPr>
        <w:t>на территории</w:t>
      </w:r>
      <w:r>
        <w:rPr>
          <w:sz w:val="24"/>
        </w:rPr>
        <w:t xml:space="preserve"> Сандовского муниципального округа</w:t>
      </w:r>
      <w:r>
        <w:rPr>
          <w:b w:val="false"/>
          <w:sz w:val="24"/>
        </w:rPr>
        <w:t>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b w:val="false"/>
          <w:sz w:val="24"/>
        </w:rPr>
        <w:t>2. Установить, что защитные сооружения и иные объекты гражданской обороны допускается использовать в мирное время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b w:val="false"/>
          <w:sz w:val="24"/>
        </w:rPr>
        <w:t>3. Рекомендовать руководителям предприятий и организаций независимо от форм собственности и ведомственной принадлежности усилить контроль за сохранением фонда защитных сооружений и иных объектов гражданской обороны, их готовностью к приему укрываемых.</w:t>
      </w:r>
    </w:p>
    <w:p>
      <w:pPr>
        <w:pStyle w:val="Normal"/>
        <w:ind w:left="0" w:right="-1" w:firstLine="709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b w:val="false"/>
          <w:sz w:val="24"/>
        </w:rPr>
        <w:t>4. Признать утратившими силу постановление администрации Сандовского района от 03.06.2020г. №129 «О мерах по сохранению и рациональному использованию защитных сооружений гражданской обороны на территории Сандовского района Тверской области».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b w:val="false"/>
          <w:sz w:val="24"/>
        </w:rPr>
        <w:t xml:space="preserve">5. Настоящее Постановление вступает в силу со дня его подписания и подлежит </w:t>
      </w:r>
      <w:hyperlink r:id="rId7">
        <w:r>
          <w:rPr>
            <w:b w:val="false"/>
            <w:sz w:val="24"/>
          </w:rPr>
          <w:t>официальному опубликованию</w:t>
        </w:r>
      </w:hyperlink>
      <w:r>
        <w:rPr>
          <w:b w:val="false"/>
          <w:sz w:val="24"/>
        </w:rPr>
        <w:t xml:space="preserve">, а также размещению на </w:t>
      </w:r>
      <w:hyperlink r:id="rId8">
        <w:r>
          <w:rPr>
            <w:b w:val="false"/>
            <w:sz w:val="24"/>
          </w:rPr>
          <w:t>официальном сайте</w:t>
        </w:r>
      </w:hyperlink>
      <w:r>
        <w:rPr>
          <w:b w:val="false"/>
          <w:sz w:val="24"/>
        </w:rPr>
        <w:t xml:space="preserve"> Сандовского муниципального округа в информационно-телекоммуникационной сети Интернет.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b w:val="false"/>
          <w:sz w:val="24"/>
        </w:rPr>
        <w:t>6.   Контроль за выполнением настоящего постановления оставляю за собой.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ind w:left="0" w:right="0" w:firstLine="697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  <w:t>Глава  Сандовского муниципального округа                                                О.Н.Грязнов</w:t>
      </w:r>
    </w:p>
    <w:p>
      <w:pPr>
        <w:pStyle w:val="Normal"/>
        <w:ind w:left="0" w:right="0" w:firstLine="697"/>
        <w:jc w:val="both"/>
        <w:rPr/>
      </w:pPr>
      <w:r>
        <w:rPr>
          <w:sz w:val="28"/>
        </w:rPr>
        <w:t xml:space="preserve"> 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 xml:space="preserve">Сандовского  </w:t>
      </w:r>
      <w:r>
        <w:rPr>
          <w:sz w:val="26"/>
        </w:rPr>
        <w:t>муниципального округа</w:t>
      </w:r>
    </w:p>
    <w:p>
      <w:pPr>
        <w:pStyle w:val="Normal"/>
        <w:spacing w:lineRule="atLeast" w:line="0" w:before="0" w:after="0"/>
        <w:jc w:val="right"/>
        <w:rPr>
          <w:sz w:val="26"/>
        </w:rPr>
      </w:pPr>
      <w:r>
        <w:rPr>
          <w:sz w:val="26"/>
        </w:rPr>
        <w:t>о</w:t>
      </w:r>
      <w:r>
        <w:rPr>
          <w:sz w:val="26"/>
        </w:rPr>
        <w:t>т 28.03.2022г. № 69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1"/>
        <w:spacing w:lineRule="auto" w:line="240"/>
        <w:jc w:val="center"/>
        <w:rPr>
          <w:b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Положение </w:t>
      </w:r>
    </w:p>
    <w:p>
      <w:pPr>
        <w:pStyle w:val="Normal"/>
        <w:ind w:left="0" w:right="-2" w:firstLine="709"/>
        <w:jc w:val="center"/>
        <w:rPr>
          <w:rFonts w:ascii="Times New Roman" w:hAnsi="Times New Roman"/>
          <w:b/>
          <w:b/>
          <w:sz w:val="26"/>
        </w:rPr>
      </w:pPr>
      <w:r>
        <w:rPr>
          <w:b/>
          <w:sz w:val="26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Сандовского муниципального округа.</w:t>
      </w:r>
    </w:p>
    <w:p>
      <w:pPr>
        <w:pStyle w:val="Normal"/>
        <w:spacing w:lineRule="exact" w:line="240"/>
        <w:ind w:left="0" w:right="0" w:hanging="0"/>
        <w:jc w:val="left"/>
        <w:rPr>
          <w:rFonts w:ascii="Times New Roman" w:hAnsi="Times New Roman"/>
          <w:sz w:val="26"/>
        </w:rPr>
      </w:pPr>
      <w:r>
        <w:rPr>
          <w:sz w:val="26"/>
        </w:rPr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 xml:space="preserve">1.  Настоящее Положение разработано на основании федеральных законав от 12.02.1998 </w:t>
      </w:r>
      <w:hyperlink r:id="rId9">
        <w:r>
          <w:rPr>
            <w:sz w:val="26"/>
          </w:rPr>
          <w:t>№28-ФЗ</w:t>
        </w:r>
      </w:hyperlink>
      <w:r>
        <w:rPr>
          <w:sz w:val="26"/>
        </w:rPr>
        <w:t xml:space="preserve"> «О гражданской обороне», от 21.12.1994 </w:t>
      </w:r>
      <w:hyperlink r:id="rId10">
        <w:r>
          <w:rPr>
            <w:sz w:val="26"/>
          </w:rPr>
          <w:t>№68-ФЗ</w:t>
        </w:r>
      </w:hyperlink>
      <w:r>
        <w:rPr>
          <w:sz w:val="26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11">
        <w:r>
          <w:rPr>
            <w:sz w:val="26"/>
          </w:rPr>
          <w:t>постановления</w:t>
        </w:r>
      </w:hyperlink>
      <w:r>
        <w:rPr>
          <w:sz w:val="26"/>
        </w:rPr>
        <w:t xml:space="preserve"> Правительства Российской Федерации от 29.11.1999 года №1309 «О порядке создания убежищ и иных объектов гражданской обороны», приказов МЧС России от 21.07.2005 </w:t>
      </w:r>
      <w:hyperlink r:id="rId12">
        <w:r>
          <w:rPr>
            <w:sz w:val="26"/>
          </w:rPr>
          <w:t>№575</w:t>
        </w:r>
      </w:hyperlink>
      <w:r>
        <w:rPr>
          <w:sz w:val="26"/>
        </w:rPr>
        <w:t xml:space="preserve"> «Об утверждении Порядка содержания и использования защитных сооружений гражданской обороны в мирное время», от 15.12.2002 </w:t>
      </w:r>
      <w:hyperlink r:id="rId13">
        <w:r>
          <w:rPr>
            <w:sz w:val="26"/>
          </w:rPr>
          <w:t>№</w:t>
        </w:r>
      </w:hyperlink>
      <w:r>
        <w:rPr>
          <w:sz w:val="26"/>
        </w:rPr>
        <w:t>583 «Об утверждении и введении в действие Правил эксплуатации защитных сооружений гражданской обороны» для определения порядка содержания и эксплуатации защитных сооружений и иных объектов гражданской обороны, расположенных на территории Сандовского муниципального округа.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2. Требования Положения подлежат обязательному выполнению при создании и эксплуатации защитных сооружений и иных объектов гражданской обороны в режиме повседневной деятельности, в чрезвычайных ситуациях природного и техногенного характера.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6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</w:rPr>
        <w:t>3.</w:t>
        <w:tab/>
        <w:t>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</w:t>
        <w:br/>
        <w:t>Российской Федерации по делам гражданской обороны, чрезвычайным ситуациям и ликвидации последствий стихийных бедствий и Министерством экономики Российской Федерации.</w:t>
      </w:r>
    </w:p>
    <w:p>
      <w:pPr>
        <w:pStyle w:val="Normal"/>
        <w:tabs>
          <w:tab w:val="clear" w:pos="720"/>
          <w:tab w:val="left" w:pos="1058" w:leader="none"/>
        </w:tabs>
        <w:spacing w:lineRule="auto" w:line="240" w:before="14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6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</w:rPr>
        <w:t>4. 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планах, муниципального образования и организаций.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</w:rPr>
        <w:t>5. 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6.  Ответственность за содержание, эксплуатацию и готовность защитных сооружений и иных объектов гражданской обороны несут руководители организаций (независимо от форм собственности и ведомственной принадлежности), на балансе которых находятся сооружения, в соответствии с действующим законодательством Российской Федерации.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7.   В обязанности руководителей организаций входит: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- организация мероприятий по обеспечению сохранности и готовности защитных сооружений и иных объектов гражданской обороны к приему укрываемых, своевременному техническому обслуживанию, ремонту и замене защитных устройств и оборудования;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- обеспечение эффективного использования помещений защитных сооружений и иных объектов гражданской обороны для нужд предприятий, организаций, учреждений и обслуживания населения в соответствии с требованиями нормативных технических документов;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- организация подготовки личного состава групп (звеньев) по обслуживанию защитных сооружений и иных объектов гражданской обороны, обучение рабочих и служащих правилам пользования защитными сооружениями и иными объектами гражданской обороны в чрезвычайных ситуациях;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- осуществление систематического контроля за содержанием, эксплуатацией и готовностью защитных сооружений и иных объектов гражданской обороны к использованию по прямому назначению.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8. На предприятиях, в учреждениях и организациях, эксплуатирующих защитные сооружения и иные объекты гражданской обороны, приказом назначаются ответственные лица, в обязанности которых входит организация правильного содержания помещений, обеспечение сохранности защитных устройств и инженерно-технического оборудования. Для ремонта помещений и оборудования ответственные лица подготавливают проектно-сметную документацию и организуют выполнение самих работ.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9.  Для обслуживания защитных сооружений и иных объектов гражданской обороны в период пребывания в них укрываемых создаются группы (звенья) по обслуживанию защитных сооружений из расчета одна группа (звено) в зависимости от вместимости на каждое сооружение.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10. Группы (звенья) по обслуживанию защитных сооружений и иных объектов гражданской обороны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нормам оснащения.</w:t>
      </w:r>
    </w:p>
    <w:p>
      <w:pPr>
        <w:pStyle w:val="Normal"/>
        <w:widowControl w:val="false"/>
        <w:ind w:left="0" w:right="0" w:hanging="0"/>
        <w:jc w:val="both"/>
        <w:rPr>
          <w:sz w:val="26"/>
        </w:rPr>
      </w:pPr>
      <w:r>
        <w:rPr>
          <w:sz w:val="26"/>
        </w:rPr>
        <w:t>11. Защитные сооружения и иные объекты гражданской обороны при режиме повседневной деятельности могут использоваться для нужд предприятий учреждений и организаций.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6"/>
        </w:rPr>
      </w:pPr>
      <w:r>
        <w:rPr>
          <w:sz w:val="26"/>
        </w:rPr>
        <w:t>12.   При эксплуатации защитных сооружений и иных объектов гражданской обороны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условия для пребывания людей в защитных сооружениях и иных объектах гражданской обороны в чрезвычайных ситуациях мирного времени.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6"/>
        </w:rPr>
      </w:pPr>
      <w:r>
        <w:rPr>
          <w:sz w:val="26"/>
        </w:rPr>
        <w:t>13.    В процессе эксплуатации защитного сооружения в мирное время запрещается: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6"/>
        </w:rPr>
      </w:pPr>
      <w:r>
        <w:rPr>
          <w:sz w:val="26"/>
        </w:rPr>
        <w:t>- перепланировка помещений;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6"/>
        </w:rPr>
      </w:pPr>
      <w:r>
        <w:rPr>
          <w:sz w:val="26"/>
        </w:rPr>
        <w:t>- устройство отверстий или проемов в ограждающих конструкциях;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6"/>
        </w:rPr>
      </w:pPr>
      <w:r>
        <w:rPr>
          <w:sz w:val="26"/>
        </w:rPr>
        <w:t>- нарушение герметизации и гидроизоляции;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6"/>
        </w:rPr>
      </w:pPr>
      <w:r>
        <w:rPr>
          <w:sz w:val="26"/>
        </w:rPr>
        <w:t>- демонтаж оборудования;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6"/>
        </w:rPr>
      </w:pPr>
      <w:r>
        <w:rPr>
          <w:sz w:val="26"/>
        </w:rPr>
        <w:t>- застройка участков территории вблизи входов, выходов и оголовков воздухозабора;</w:t>
      </w:r>
    </w:p>
    <w:p>
      <w:pPr>
        <w:pStyle w:val="Normal"/>
        <w:widowControl w:val="false"/>
        <w:spacing w:lineRule="auto" w:line="240"/>
        <w:ind w:left="0" w:right="0" w:hanging="0"/>
        <w:jc w:val="both"/>
        <w:rPr>
          <w:sz w:val="26"/>
        </w:rPr>
      </w:pPr>
      <w:r>
        <w:rPr>
          <w:sz w:val="26"/>
        </w:rPr>
        <w:t>- применение сгораемых синтетических материалов при отделке помещений.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6"/>
        </w:rPr>
      </w:pPr>
      <w:r>
        <w:rPr>
          <w:sz w:val="26"/>
        </w:rPr>
        <w:t>11. Защитные сооружения и иные объекты гражданской обороны в соответствии с их использованием в мирное время должны быть укомплектованы первичными средствами пожаротушения (ручными пенными огнетушителями, песком и др.) в количестве, предусмотренном типовыми правилами пожарной безопасности.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left"/>
        <w:rPr>
          <w:rFonts w:ascii="Times New Roman" w:hAnsi="Times New Roman"/>
          <w:sz w:val="26"/>
        </w:rPr>
      </w:pPr>
      <w:r>
        <w:rPr>
          <w:sz w:val="26"/>
        </w:rPr>
        <w:t xml:space="preserve">Управляющий делами Администрации </w:t>
      </w:r>
    </w:p>
    <w:p>
      <w:pPr>
        <w:pStyle w:val="Normal"/>
        <w:jc w:val="left"/>
        <w:rPr>
          <w:rFonts w:ascii="Times New Roman" w:hAnsi="Times New Roman"/>
          <w:sz w:val="26"/>
        </w:rPr>
      </w:pPr>
      <w:r>
        <w:rPr>
          <w:sz w:val="26"/>
        </w:rPr>
        <w:t>Сандовского муниципального округа                                                       Г.И.Горохова</w:t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sz w:val="26"/>
        <w:b/>
      </w:r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Style19"/>
    <w:next w:val="Style20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Style19"/>
    <w:next w:val="Style20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Toc10">
    <w:name w:val="toc 10"/>
    <w:link w:val="Toc101"/>
    <w:qFormat/>
    <w:rPr/>
  </w:style>
  <w:style w:type="character" w:styleId="WW8Num2z7">
    <w:name w:val="WW8Num2z7"/>
    <w:link w:val="WW8Num2z71"/>
    <w:qFormat/>
    <w:rPr/>
  </w:style>
  <w:style w:type="character" w:styleId="Style9">
    <w:name w:val="Блочная цитата"/>
    <w:link w:val="Style24"/>
    <w:qFormat/>
    <w:rPr/>
  </w:style>
  <w:style w:type="character" w:styleId="Style10">
    <w:name w:val="Указатель"/>
    <w:link w:val="Style23"/>
    <w:qFormat/>
    <w:rPr/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WW8Num2z8">
    <w:name w:val="WW8Num2z8"/>
    <w:link w:val="WW8Num2z81"/>
    <w:qFormat/>
    <w:rPr/>
  </w:style>
  <w:style w:type="character" w:styleId="WW8Num2z4">
    <w:name w:val="WW8Num2z4"/>
    <w:link w:val="WW8Num2z41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WW8Num1z0">
    <w:name w:val="WW8Num1z0"/>
    <w:link w:val="WW8Num1z01"/>
    <w:qFormat/>
    <w:rPr/>
  </w:style>
  <w:style w:type="character" w:styleId="WW8Num2z0">
    <w:name w:val="WW8Num2z0"/>
    <w:link w:val="WW8Num2z01"/>
    <w:qFormat/>
    <w:rPr/>
  </w:style>
  <w:style w:type="character" w:styleId="Heading3">
    <w:name w:val="Heading 3"/>
    <w:basedOn w:val="Style15"/>
    <w:qFormat/>
    <w:rPr>
      <w:b/>
      <w:sz w:val="28"/>
    </w:rPr>
  </w:style>
  <w:style w:type="character" w:styleId="WWAbsatzStandardschriftart1">
    <w:name w:val="WW-Absatz-Standardschriftart1"/>
    <w:link w:val="WWAbsatzStandardschriftart12"/>
    <w:qFormat/>
    <w:rPr/>
  </w:style>
  <w:style w:type="character" w:styleId="WW8Num2z2">
    <w:name w:val="WW8Num2z2"/>
    <w:link w:val="WW8Num2z21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WW8Num1z5">
    <w:name w:val="WW8Num1z5"/>
    <w:link w:val="WW8Num1z51"/>
    <w:qFormat/>
    <w:rPr/>
  </w:style>
  <w:style w:type="character" w:styleId="WWAbsatzStandardschriftart1111111">
    <w:name w:val="WW-Absatz-Standardschriftart1111111"/>
    <w:link w:val="WWAbsatzStandardschriftart1111111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WW8Num2z3">
    <w:name w:val="WW8Num2z3"/>
    <w:link w:val="WW8Num2z31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7">
    <w:name w:val="WW8Num1z7"/>
    <w:link w:val="WW8Num1z71"/>
    <w:qFormat/>
    <w:rPr/>
  </w:style>
  <w:style w:type="character" w:styleId="WW8Num1z2">
    <w:name w:val="WW8Num1z2"/>
    <w:link w:val="WW8Num1z21"/>
    <w:qFormat/>
    <w:rPr/>
  </w:style>
  <w:style w:type="character" w:styleId="Contents3">
    <w:name w:val="Contents 3"/>
    <w:qFormat/>
    <w:rPr/>
  </w:style>
  <w:style w:type="character" w:styleId="List">
    <w:name w:val="List"/>
    <w:basedOn w:val="Textbody"/>
    <w:qFormat/>
    <w:rPr/>
  </w:style>
  <w:style w:type="character" w:styleId="WW8Num2z1">
    <w:name w:val="WW8Num2z1"/>
    <w:link w:val="WW8Num2z11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Style11">
    <w:name w:val="Основной шрифт абзаца"/>
    <w:link w:val="Style25"/>
    <w:qFormat/>
    <w:rPr/>
  </w:style>
  <w:style w:type="character" w:styleId="Heading1">
    <w:name w:val="Heading 1"/>
    <w:qFormat/>
    <w:rPr>
      <w:rFonts w:ascii="Arial" w:hAnsi="Arial"/>
      <w:sz w:val="44"/>
    </w:rPr>
  </w:style>
  <w:style w:type="character" w:styleId="Textbody">
    <w:name w:val="Text body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Caption">
    <w:name w:val="caption"/>
    <w:link w:val="Caption1"/>
    <w:qFormat/>
    <w:rPr>
      <w:i/>
      <w:sz w:val="24"/>
    </w:rPr>
  </w:style>
  <w:style w:type="character" w:styleId="WW8Num1z8">
    <w:name w:val="WW8Num1z8"/>
    <w:link w:val="WW8Num1z8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2z6">
    <w:name w:val="WW8Num2z6"/>
    <w:link w:val="WW8Num2z61"/>
    <w:qFormat/>
    <w:rPr/>
  </w:style>
  <w:style w:type="character" w:styleId="Style13">
    <w:name w:val="Символ нумерации"/>
    <w:link w:val="Style27"/>
    <w:qFormat/>
    <w:rPr/>
  </w:style>
  <w:style w:type="character" w:styleId="Textbodyindent">
    <w:name w:val="Text body indent"/>
    <w:qFormat/>
    <w:rPr>
      <w:sz w:val="28"/>
    </w:rPr>
  </w:style>
  <w:style w:type="character" w:styleId="Contents9">
    <w:name w:val="Contents 9"/>
    <w:qFormat/>
    <w:rPr/>
  </w:style>
  <w:style w:type="character" w:styleId="Style14">
    <w:name w:val="Текст выноски Знак"/>
    <w:basedOn w:val="Style11"/>
    <w:link w:val="Style29"/>
    <w:qFormat/>
    <w:rPr>
      <w:rFonts w:ascii="Tahoma" w:hAnsi="Tahoma"/>
      <w:sz w:val="16"/>
    </w:rPr>
  </w:style>
  <w:style w:type="character" w:styleId="Contents8">
    <w:name w:val="Contents 8"/>
    <w:qFormat/>
    <w:rPr/>
  </w:style>
  <w:style w:type="character" w:styleId="Style15">
    <w:name w:val="Заголовок"/>
    <w:link w:val="Style19"/>
    <w:qFormat/>
    <w:rPr>
      <w:rFonts w:ascii="Arial" w:hAnsi="Arial"/>
      <w:sz w:val="44"/>
    </w:rPr>
  </w:style>
  <w:style w:type="character" w:styleId="WW8Num1z6">
    <w:name w:val="WW8Num1z6"/>
    <w:link w:val="WW8Num1z61"/>
    <w:qFormat/>
    <w:rPr/>
  </w:style>
  <w:style w:type="character" w:styleId="WW8Num1z1">
    <w:name w:val="WW8Num1z1"/>
    <w:link w:val="WW8Num1z11"/>
    <w:qFormat/>
    <w:rPr/>
  </w:style>
  <w:style w:type="character" w:styleId="Contents5">
    <w:name w:val="Contents 5"/>
    <w:qFormat/>
    <w:rPr/>
  </w:style>
  <w:style w:type="character" w:styleId="WW8Num2z5">
    <w:name w:val="WW8Num2z5"/>
    <w:link w:val="WW8Num2z51"/>
    <w:qFormat/>
    <w:rPr/>
  </w:style>
  <w:style w:type="character" w:styleId="Style16">
    <w:name w:val="Текст выноски"/>
    <w:link w:val="Style30"/>
    <w:qFormat/>
    <w:rPr>
      <w:rFonts w:ascii="Tahoma" w:hAnsi="Tahoma"/>
      <w:sz w:val="16"/>
    </w:rPr>
  </w:style>
  <w:style w:type="character" w:styleId="Subtitle">
    <w:name w:val="Subtitle"/>
    <w:qFormat/>
    <w:rPr>
      <w:b/>
      <w:sz w:val="44"/>
    </w:rPr>
  </w:style>
  <w:style w:type="character" w:styleId="WW8Num1z4">
    <w:name w:val="WW8Num1z4"/>
    <w:link w:val="WW8Num1z41"/>
    <w:qFormat/>
    <w:rPr/>
  </w:style>
  <w:style w:type="character" w:styleId="Title">
    <w:name w:val="Title"/>
    <w:basedOn w:val="Style15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Style17">
    <w:name w:val="Содержимое таблицы"/>
    <w:link w:val="Style33"/>
    <w:qFormat/>
    <w:rPr/>
  </w:style>
  <w:style w:type="character" w:styleId="Heading2">
    <w:name w:val="Heading 2"/>
    <w:basedOn w:val="Style15"/>
    <w:qFormat/>
    <w:rPr>
      <w:b/>
      <w:sz w:val="32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8Num1z3">
    <w:name w:val="WW8Num1z3"/>
    <w:link w:val="WW8Num1z31"/>
    <w:qFormat/>
    <w:rPr/>
  </w:style>
  <w:style w:type="character" w:styleId="Style18">
    <w:name w:val="Заголовок таблицы"/>
    <w:basedOn w:val="Style17"/>
    <w:link w:val="Style34"/>
    <w:qFormat/>
    <w:rPr>
      <w:b/>
    </w:rPr>
  </w:style>
  <w:style w:type="paragraph" w:styleId="Style19">
    <w:name w:val="Заголовок"/>
    <w:basedOn w:val="Normal"/>
    <w:next w:val="Style20"/>
    <w:link w:val="Style15"/>
    <w:qFormat/>
    <w:pPr>
      <w:jc w:val="center"/>
    </w:pPr>
    <w:rPr>
      <w:rFonts w:ascii="Arial" w:hAnsi="Arial"/>
      <w:sz w:val="44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link w:val="Style10"/>
    <w:qFormat/>
    <w:pPr/>
    <w:rPr/>
  </w:style>
  <w:style w:type="paragraph" w:styleId="Toc101">
    <w:name w:val="toc 10"/>
    <w:next w:val="Normal"/>
    <w:link w:val="Toc10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WW8Num2z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Блочная цитата"/>
    <w:basedOn w:val="Normal"/>
    <w:link w:val="Style9"/>
    <w:qFormat/>
    <w:pPr>
      <w:spacing w:before="0" w:after="283"/>
      <w:ind w:left="567" w:right="567" w:hanging="0"/>
    </w:pPr>
    <w:rPr/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WW8Num2z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WW8Num2z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WW8Num2z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WW8Num2z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">
    <w:name w:val="WW-Absatz-Standardschriftart1111111"/>
    <w:link w:val="WWAbsatzStandardschriftart111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link w:val="WW8Num2z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WW8Num2z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Основной шрифт абзаца"/>
    <w:link w:val="Style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8Num1z81">
    <w:name w:val="WW8Num1z8"/>
    <w:link w:val="WW8Num1z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Колонтитул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WW8Num2z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Символ нумерации"/>
    <w:link w:val="Style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Body Text Indent"/>
    <w:basedOn w:val="Normal"/>
    <w:pPr>
      <w:ind w:left="0" w:right="0" w:firstLine="851"/>
      <w:jc w:val="both"/>
    </w:pPr>
    <w:rPr>
      <w:sz w:val="28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Текст выноски Знак"/>
    <w:basedOn w:val="Style25"/>
    <w:link w:val="Style14"/>
    <w:qFormat/>
    <w:pPr/>
    <w:rPr>
      <w:rFonts w:ascii="Tahoma" w:hAnsi="Tahoma"/>
      <w:sz w:val="16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link w:val="WW8Num2z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Текст выноски"/>
    <w:basedOn w:val="Normal"/>
    <w:link w:val="Style16"/>
    <w:qFormat/>
    <w:pPr/>
    <w:rPr>
      <w:rFonts w:ascii="Tahoma" w:hAnsi="Tahoma"/>
      <w:sz w:val="16"/>
    </w:rPr>
  </w:style>
  <w:style w:type="paragraph" w:styleId="Style31">
    <w:name w:val="Subtitle"/>
    <w:basedOn w:val="Normal"/>
    <w:next w:val="Style20"/>
    <w:uiPriority w:val="11"/>
    <w:qFormat/>
    <w:pPr>
      <w:jc w:val="center"/>
    </w:pPr>
    <w:rPr>
      <w:b/>
      <w:sz w:val="44"/>
    </w:rPr>
  </w:style>
  <w:style w:type="paragraph" w:styleId="WW8Num1z41">
    <w:name w:val="WW8Num1z4"/>
    <w:link w:val="WW8Num1z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Title"/>
    <w:basedOn w:val="Style19"/>
    <w:next w:val="Style20"/>
    <w:uiPriority w:val="10"/>
    <w:qFormat/>
    <w:pPr>
      <w:jc w:val="center"/>
    </w:pPr>
    <w:rPr>
      <w:b/>
      <w:sz w:val="56"/>
    </w:rPr>
  </w:style>
  <w:style w:type="paragraph" w:styleId="WWAbsatzStandardschriftart111112">
    <w:name w:val="WW-Absatz-Standardschriftart11111"/>
    <w:link w:val="WWAbsatzStandardschriftart1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Содержимое таблицы"/>
    <w:basedOn w:val="Normal"/>
    <w:link w:val="Style17"/>
    <w:qFormat/>
    <w:pPr/>
    <w:rPr/>
  </w:style>
  <w:style w:type="paragraph" w:styleId="WWAbsatzStandardschriftart11112">
    <w:name w:val="WW-Absatz-Standardschriftart1111"/>
    <w:link w:val="WWAbsatzStandardschriftart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Заголовок таблицы"/>
    <w:basedOn w:val="Style33"/>
    <w:link w:val="Style18"/>
    <w:qFormat/>
    <w:pPr>
      <w:jc w:val="center"/>
    </w:pPr>
    <w:rPr>
      <w:b/>
    </w:rPr>
  </w:style>
  <w:style w:type="table" w:default="1" w:styleId="Style_6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652ECAC6F70541BA5427360FEAF1EBC0531F734B92612A26E3C90114FC2FEADA0E00444FlC47R" TargetMode="External"/><Relationship Id="rId4" Type="http://schemas.openxmlformats.org/officeDocument/2006/relationships/hyperlink" Target="consultantplus://offline/ref=652ECAC6F70541BA5427360FEAF1EBC05016724D96672A26E3C90114FC2FEADA0E004447CE27B87Cl149R" TargetMode="External"/><Relationship Id="rId5" Type="http://schemas.openxmlformats.org/officeDocument/2006/relationships/hyperlink" Target="consultantplus://offline/ref=652ECAC6F70541BA5427360FEAF1EBC0531E7148916E2A26E3C90114FC2FEADA0E004447CE27BA7El144R" TargetMode="External"/><Relationship Id="rId6" Type="http://schemas.openxmlformats.org/officeDocument/2006/relationships/hyperlink" Target="consultantplus://offline/ref=652ECAC6F70541BA5427360FEAF1EBC0531E7A4D93642A26E3C90114FCl24FR" TargetMode="External"/><Relationship Id="rId7" Type="http://schemas.openxmlformats.org/officeDocument/2006/relationships/hyperlink" Target="http://internet.garant.ru/document/redirect/16491165/0" TargetMode="External"/><Relationship Id="rId8" Type="http://schemas.openxmlformats.org/officeDocument/2006/relationships/hyperlink" Target="http://internet.garant.ru/document/redirect/16327219/0" TargetMode="External"/><Relationship Id="rId9" Type="http://schemas.openxmlformats.org/officeDocument/2006/relationships/hyperlink" Target="consultantplus://offline/ref=652ECAC6F70541BA5427360FEAF1EBC0531F734B92612A26E3C90114FC2FEADA0E00444FlC47R" TargetMode="External"/><Relationship Id="rId10" Type="http://schemas.openxmlformats.org/officeDocument/2006/relationships/hyperlink" Target="consultantplus://offline/ref=652ECAC6F70541BA5427360FEAF1EBC05016724D96672A26E3C90114FC2FEADA0E004447CE27B87Cl149R" TargetMode="External"/><Relationship Id="rId11" Type="http://schemas.openxmlformats.org/officeDocument/2006/relationships/hyperlink" Target="consultantplus://offline/ref=652ECAC6F70541BA5427360FEAF1EBC0531E7148916E2A26E3C90114FC2FEADA0E004447CE27BA7El144R" TargetMode="External"/><Relationship Id="rId12" Type="http://schemas.openxmlformats.org/officeDocument/2006/relationships/hyperlink" Target="consultantplus://offline/ref=652ECAC6F70541BA5427360FEAF1EBC0531E7A4D93642A26E3C90114FCl24FR" TargetMode="External"/><Relationship Id="rId13" Type="http://schemas.openxmlformats.org/officeDocument/2006/relationships/hyperlink" Target="consultantplus://offline/ref=652ECAC6F70541BA5427360FEAF1EBC05017744C97602A26E3C90114FCl24FR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LibreOffice/7.3.0.3$Windows_x86 LibreOffice_project/0f246aa12d0eee4a0f7adcefbf7c878fc2238db3</Application>
  <AppVersion>15.0000</AppVersion>
  <Pages>3</Pages>
  <Words>1011</Words>
  <Characters>7531</Characters>
  <CharactersWithSpaces>8724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2022-03-31T14:20:22Z</cp:lastPrinted>
  <dcterms:modified xsi:type="dcterms:W3CDTF">2022-03-31T14:20:41Z</dcterms:modified>
  <cp:revision>1</cp:revision>
  <dc:subject/>
  <dc:title/>
</cp:coreProperties>
</file>