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drawing>
          <wp:anchor behindDoc="0" distT="0" distB="139065" distL="0" distR="0" simplePos="0" locked="0" layoutInCell="0" allowOverlap="1" relativeHeight="2">
            <wp:simplePos x="0" y="0"/>
            <wp:positionH relativeFrom="column">
              <wp:posOffset>2817495</wp:posOffset>
            </wp:positionH>
            <wp:positionV relativeFrom="paragraph">
              <wp:posOffset>635</wp:posOffset>
            </wp:positionV>
            <wp:extent cx="560705" cy="55689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344" t="-180" r="-1344" b="-180"/>
                    <a:stretch>
                      <a:fillRect/>
                    </a:stretch>
                  </pic:blipFill>
                  <pic:spPr bwMode="auto">
                    <a:xfrm>
                      <a:off x="0" y="0"/>
                      <a:ext cx="560705" cy="556895"/>
                    </a:xfrm>
                    <a:prstGeom prst="rect">
                      <a:avLst/>
                    </a:prstGeom>
                  </pic:spPr>
                </pic:pic>
              </a:graphicData>
            </a:graphic>
          </wp:anchor>
        </w:drawing>
      </w:r>
    </w:p>
    <w:p>
      <w:pPr>
        <w:pStyle w:val="Default"/>
        <w:jc w:val="center"/>
        <w:rPr/>
      </w:pPr>
      <w:r>
        <w:rPr/>
      </w:r>
    </w:p>
    <w:p>
      <w:pPr>
        <w:pStyle w:val="Style20"/>
        <w:spacing w:lineRule="auto" w:line="240" w:before="0" w:after="0"/>
        <w:jc w:val="center"/>
        <w:rPr>
          <w:rFonts w:ascii="Times New Roman" w:hAnsi="Times New Roman"/>
          <w:b/>
          <w:b/>
          <w:bCs/>
          <w:i w:val="false"/>
          <w:i w:val="false"/>
          <w:sz w:val="40"/>
          <w:szCs w:val="40"/>
        </w:rPr>
      </w:pPr>
      <w:r>
        <w:rPr>
          <w:rFonts w:ascii="Times New Roman" w:hAnsi="Times New Roman"/>
          <w:b/>
          <w:bCs/>
          <w:i w:val="false"/>
          <w:sz w:val="40"/>
          <w:szCs w:val="40"/>
        </w:rPr>
      </w:r>
    </w:p>
    <w:p>
      <w:pPr>
        <w:pStyle w:val="Style20"/>
        <w:spacing w:lineRule="auto" w:line="240" w:before="0" w:after="0"/>
        <w:jc w:val="center"/>
        <w:rPr>
          <w:rFonts w:ascii="Times New Roman" w:hAnsi="Times New Roman"/>
          <w:b/>
          <w:b/>
          <w:bCs/>
          <w:i w:val="false"/>
          <w:i w:val="false"/>
          <w:sz w:val="40"/>
          <w:szCs w:val="40"/>
        </w:rPr>
      </w:pPr>
      <w:r>
        <w:rPr>
          <w:rFonts w:ascii="Times New Roman" w:hAnsi="Times New Roman"/>
          <w:b/>
          <w:bCs/>
          <w:i w:val="false"/>
          <w:sz w:val="40"/>
          <w:szCs w:val="40"/>
        </w:rPr>
      </w:r>
    </w:p>
    <w:p>
      <w:pPr>
        <w:pStyle w:val="Style20"/>
        <w:spacing w:lineRule="auto" w:line="240" w:before="0" w:after="0"/>
        <w:jc w:val="center"/>
        <w:rPr>
          <w:rFonts w:ascii="Times New Roman" w:hAnsi="Times New Roman"/>
          <w:b/>
          <w:b/>
          <w:bCs/>
          <w:i w:val="false"/>
          <w:i w:val="false"/>
          <w:sz w:val="40"/>
          <w:szCs w:val="40"/>
        </w:rPr>
      </w:pPr>
      <w:r>
        <w:rPr>
          <w:rFonts w:ascii="Times New Roman" w:hAnsi="Times New Roman"/>
          <w:b/>
          <w:bCs/>
          <w:i w:val="false"/>
          <w:sz w:val="40"/>
          <w:szCs w:val="40"/>
        </w:rPr>
        <w:t>АДМИНИСТРАЦИЯ</w:t>
      </w:r>
    </w:p>
    <w:p>
      <w:pPr>
        <w:pStyle w:val="Style20"/>
        <w:spacing w:lineRule="auto" w:line="240" w:before="0" w:after="0"/>
        <w:jc w:val="center"/>
        <w:rPr>
          <w:rFonts w:ascii="Times New Roman" w:hAnsi="Times New Roman"/>
          <w:b/>
          <w:b/>
          <w:bCs/>
          <w:sz w:val="40"/>
          <w:szCs w:val="40"/>
        </w:rPr>
      </w:pPr>
      <w:r>
        <w:rPr>
          <w:rFonts w:eastAsia="Times New Roman" w:cs="Times New Roman" w:ascii="Times New Roman" w:hAnsi="Times New Roman"/>
          <w:b/>
          <w:bCs/>
          <w:i w:val="false"/>
          <w:sz w:val="40"/>
          <w:szCs w:val="40"/>
        </w:rPr>
        <w:t xml:space="preserve"> </w:t>
      </w:r>
      <w:r>
        <w:rPr>
          <w:rFonts w:ascii="Times New Roman" w:hAnsi="Times New Roman"/>
          <w:b/>
          <w:bCs/>
          <w:i w:val="false"/>
          <w:sz w:val="40"/>
          <w:szCs w:val="40"/>
        </w:rPr>
        <w:t>САНДОВСКОГО МУНИЦИПАЛЬНОГО ОКРУГА</w:t>
      </w:r>
    </w:p>
    <w:p>
      <w:pPr>
        <w:pStyle w:val="Style20"/>
        <w:spacing w:lineRule="auto" w:line="240" w:before="0" w:after="0"/>
        <w:jc w:val="center"/>
        <w:rPr>
          <w:rFonts w:ascii="Times New Roman" w:hAnsi="Times New Roman"/>
          <w:b w:val="false"/>
          <w:b w:val="false"/>
          <w:i w:val="false"/>
          <w:i w:val="false"/>
          <w:sz w:val="28"/>
        </w:rPr>
      </w:pPr>
      <w:r>
        <w:rPr>
          <w:rFonts w:ascii="Times New Roman" w:hAnsi="Times New Roman"/>
          <w:b w:val="false"/>
          <w:i w:val="false"/>
          <w:sz w:val="28"/>
        </w:rPr>
        <w:t>Тверская область</w:t>
      </w:r>
    </w:p>
    <w:p>
      <w:pPr>
        <w:pStyle w:val="Style20"/>
        <w:spacing w:lineRule="auto" w:line="240" w:before="0" w:after="0"/>
        <w:ind w:left="195" w:right="0" w:hanging="0"/>
        <w:jc w:val="center"/>
        <w:rPr>
          <w:rFonts w:ascii="Times New Roman" w:hAnsi="Times New Roman" w:cs="Times New Roman"/>
          <w:b/>
          <w:b/>
          <w:bCs/>
          <w:i w:val="false"/>
          <w:i w:val="false"/>
          <w:sz w:val="40"/>
          <w:szCs w:val="40"/>
        </w:rPr>
      </w:pPr>
      <w:r>
        <w:rPr>
          <w:rFonts w:cs="Times New Roman" w:ascii="Times New Roman" w:hAnsi="Times New Roman"/>
          <w:b/>
          <w:bCs/>
          <w:i w:val="false"/>
          <w:sz w:val="40"/>
          <w:szCs w:val="40"/>
        </w:rPr>
        <w:t>ПОСТАНОВЛЕНИЕ</w:t>
      </w:r>
    </w:p>
    <w:p>
      <w:pPr>
        <w:pStyle w:val="Standard"/>
        <w:widowControl w:val="false"/>
        <w:suppressAutoHyphens w:val="true"/>
        <w:bidi w:val="0"/>
        <w:spacing w:lineRule="auto" w:line="276" w:before="0" w:after="200"/>
        <w:ind w:left="0" w:right="0" w:hanging="0"/>
        <w:jc w:val="left"/>
        <w:textAlignment w:val="baseline"/>
        <w:rPr>
          <w:sz w:val="32"/>
          <w:szCs w:val="32"/>
        </w:rPr>
      </w:pPr>
      <w:r>
        <w:rPr>
          <w:rFonts w:eastAsia="Times New Roman" w:cs="Times New Roman"/>
          <w:color w:val="auto"/>
          <w:kern w:val="2"/>
          <w:sz w:val="28"/>
          <w:szCs w:val="24"/>
          <w:lang w:val="ru-RU" w:eastAsia="zh-CN" w:bidi="ru-RU"/>
        </w:rPr>
        <w:t>24</w:t>
      </w:r>
      <w:r>
        <w:rPr>
          <w:rFonts w:eastAsia="Times New Roman" w:cs="Times New Roman"/>
          <w:color w:val="auto"/>
          <w:kern w:val="2"/>
          <w:sz w:val="28"/>
          <w:szCs w:val="24"/>
          <w:lang w:val="ru-RU" w:eastAsia="zh-CN" w:bidi="ru-RU"/>
        </w:rPr>
        <w:t>.11</w:t>
      </w:r>
      <w:r>
        <w:rPr>
          <w:rFonts w:cs="Times New Roman"/>
          <w:sz w:val="28"/>
          <w:szCs w:val="28"/>
        </w:rPr>
        <w:t xml:space="preserve">.2021                                         п. Сандово                                                № </w:t>
      </w:r>
      <w:r>
        <w:rPr>
          <w:rFonts w:cs="Times New Roman"/>
          <w:sz w:val="28"/>
          <w:szCs w:val="28"/>
        </w:rPr>
        <w:t>3</w:t>
      </w:r>
      <w:r>
        <w:rPr>
          <w:rFonts w:eastAsia="Andale Sans UI" w:cs="Times New Roman"/>
          <w:color w:val="auto"/>
          <w:kern w:val="2"/>
          <w:sz w:val="28"/>
          <w:szCs w:val="24"/>
          <w:lang w:val="ru-RU" w:eastAsia="zh-CN" w:bidi="ru-RU"/>
        </w:rPr>
        <w:t>3</w:t>
      </w:r>
      <w:r>
        <w:rPr>
          <w:rFonts w:eastAsia="Andale Sans UI" w:cs="Times New Roman"/>
          <w:color w:val="auto"/>
          <w:kern w:val="2"/>
          <w:sz w:val="28"/>
          <w:szCs w:val="24"/>
          <w:lang w:val="ru-RU" w:eastAsia="zh-CN" w:bidi="ru-RU"/>
        </w:rPr>
        <w:t>7</w:t>
      </w:r>
    </w:p>
    <w:p>
      <w:pPr>
        <w:pStyle w:val="Default"/>
        <w:rPr>
          <w:sz w:val="28"/>
          <w:szCs w:val="28"/>
        </w:rPr>
      </w:pPr>
      <w:r>
        <w:rPr>
          <w:sz w:val="28"/>
          <w:szCs w:val="28"/>
        </w:rPr>
      </w:r>
    </w:p>
    <w:p>
      <w:pPr>
        <w:pStyle w:val="Default"/>
        <w:rPr/>
      </w:pPr>
      <w:r>
        <w:rPr/>
        <w:t>Об утверждении Порядка внесения</w:t>
      </w:r>
    </w:p>
    <w:p>
      <w:pPr>
        <w:pStyle w:val="Default"/>
        <w:rPr/>
      </w:pPr>
      <w:r>
        <w:rPr/>
        <w:t xml:space="preserve">изменений в перечень главных администраторов </w:t>
      </w:r>
    </w:p>
    <w:p>
      <w:pPr>
        <w:pStyle w:val="Default"/>
        <w:rPr/>
      </w:pPr>
      <w:r>
        <w:rPr/>
        <w:t xml:space="preserve">доходов местного бюджета, в перечень главных администраторов </w:t>
      </w:r>
    </w:p>
    <w:p>
      <w:pPr>
        <w:pStyle w:val="Default"/>
        <w:rPr/>
      </w:pPr>
      <w:r>
        <w:rPr/>
        <w:t>источников финансирования дефицита местного бюджета</w:t>
      </w:r>
    </w:p>
    <w:p>
      <w:pPr>
        <w:pStyle w:val="Default"/>
        <w:rPr/>
      </w:pPr>
      <w:r>
        <w:rPr/>
      </w:r>
    </w:p>
    <w:p>
      <w:pPr>
        <w:pStyle w:val="Default"/>
        <w:ind w:firstLine="567"/>
        <w:jc w:val="both"/>
        <w:rPr>
          <w:b/>
          <w:b/>
        </w:rPr>
      </w:pPr>
      <w:r>
        <w:rPr/>
        <w:t xml:space="preserve">В соответствии с 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Сандовского муниципального округа </w:t>
      </w:r>
    </w:p>
    <w:p>
      <w:pPr>
        <w:pStyle w:val="Default"/>
        <w:ind w:firstLine="567"/>
        <w:jc w:val="both"/>
        <w:rPr>
          <w:b/>
          <w:b/>
        </w:rPr>
      </w:pPr>
      <w:r>
        <w:rPr/>
      </w:r>
    </w:p>
    <w:p>
      <w:pPr>
        <w:pStyle w:val="Default"/>
        <w:widowControl/>
        <w:bidi w:val="0"/>
        <w:spacing w:lineRule="auto" w:line="240" w:before="0" w:after="0"/>
        <w:ind w:left="0" w:right="0" w:hanging="0"/>
        <w:jc w:val="center"/>
        <w:rPr>
          <w:b w:val="false"/>
          <w:b w:val="false"/>
          <w:bCs w:val="false"/>
        </w:rPr>
      </w:pPr>
      <w:r>
        <w:rPr>
          <w:rFonts w:cs="Times New Roman"/>
          <w:b w:val="false"/>
          <w:bCs w:val="false"/>
          <w:color w:val="000000"/>
          <w:sz w:val="24"/>
          <w:szCs w:val="24"/>
        </w:rPr>
        <w:t>ПОСТАНОВЛЯЕТ:</w:t>
      </w:r>
    </w:p>
    <w:p>
      <w:pPr>
        <w:pStyle w:val="Default"/>
        <w:ind w:firstLine="567"/>
        <w:jc w:val="both"/>
        <w:rPr>
          <w:b/>
          <w:b/>
        </w:rPr>
      </w:pPr>
      <w:r>
        <w:rPr/>
      </w:r>
    </w:p>
    <w:p>
      <w:pPr>
        <w:pStyle w:val="Default"/>
        <w:numPr>
          <w:ilvl w:val="0"/>
          <w:numId w:val="1"/>
        </w:numPr>
        <w:ind w:left="0" w:firstLine="360"/>
        <w:jc w:val="both"/>
        <w:rPr/>
      </w:pPr>
      <w:r>
        <w:rPr/>
        <w:t xml:space="preserve">Утвердить Порядок внесения изменений в перечень главных администраторов доходов бюджета Сандовского муниципального округа Тверской области, в перечень главных администраторов источников финансирования дефицита бюджета Сандовского муниципального округа Тверской области (прилагается). </w:t>
      </w:r>
    </w:p>
    <w:p>
      <w:pPr>
        <w:pStyle w:val="Default"/>
        <w:numPr>
          <w:ilvl w:val="0"/>
          <w:numId w:val="1"/>
        </w:numPr>
        <w:ind w:left="0" w:firstLine="360"/>
        <w:jc w:val="both"/>
        <w:rPr/>
      </w:pPr>
      <w:r>
        <w:rPr/>
        <w:t>Настоящее постановление вступает в силу с 1 января 2022 года и подлежит размещению на официальном сайте Сандовского муниципального округа в информационно-телекоммуникационной сети Интернет.</w:t>
      </w:r>
    </w:p>
    <w:p>
      <w:pPr>
        <w:pStyle w:val="Default"/>
        <w:ind w:firstLine="567"/>
        <w:jc w:val="both"/>
        <w:rPr/>
      </w:pPr>
      <w:r>
        <w:rPr/>
        <w:t>До 1 января 2022 года настоящее постановление применяется исключительно к правоотношениям, возникающим в связи с формированием проекта местного бюджета на 2022 год и на плановый период 2023 и 2024 годов.</w:t>
      </w:r>
    </w:p>
    <w:p>
      <w:pPr>
        <w:pStyle w:val="Default"/>
        <w:numPr>
          <w:ilvl w:val="0"/>
          <w:numId w:val="1"/>
        </w:numPr>
        <w:ind w:left="0" w:firstLine="360"/>
        <w:jc w:val="both"/>
        <w:rPr/>
      </w:pPr>
      <w:r>
        <w:rPr/>
        <w:t xml:space="preserve">Контроль за исполнением настоящего постановления возложить на </w:t>
      </w:r>
      <w:r>
        <w:rPr/>
        <w:t>з</w:t>
      </w:r>
      <w:r>
        <w:rPr/>
        <w:t xml:space="preserve">аместителя Главы Администрации Сандовского муниципального округа, руководителя Финансового управления  Кузнецову Т.А. </w:t>
      </w:r>
    </w:p>
    <w:p>
      <w:pPr>
        <w:pStyle w:val="Default"/>
        <w:jc w:val="both"/>
        <w:rPr/>
      </w:pPr>
      <w:r>
        <w:rPr/>
      </w:r>
    </w:p>
    <w:p>
      <w:pPr>
        <w:pStyle w:val="Default"/>
        <w:jc w:val="both"/>
        <w:rPr/>
      </w:pPr>
      <w:r>
        <w:rPr/>
      </w:r>
    </w:p>
    <w:p>
      <w:pPr>
        <w:pStyle w:val="Default"/>
        <w:jc w:val="both"/>
        <w:rPr/>
      </w:pPr>
      <w:r>
        <w:rPr/>
        <w:t>Глава Сандовского муниципального округа                                                  О.Н.Грязнов</w:t>
      </w:r>
    </w:p>
    <w:p>
      <w:pPr>
        <w:pStyle w:val="Default"/>
        <w:jc w:val="both"/>
        <w:rPr/>
      </w:pPr>
      <w:r>
        <w:rPr/>
      </w:r>
    </w:p>
    <w:p>
      <w:pPr>
        <w:pStyle w:val="Default"/>
        <w:jc w:val="both"/>
        <w:rPr/>
      </w:pPr>
      <w:r>
        <w:rPr/>
      </w:r>
    </w:p>
    <w:p>
      <w:pPr>
        <w:pStyle w:val="Default"/>
        <w:jc w:val="both"/>
        <w:rPr/>
      </w:pPr>
      <w:r>
        <w:rPr/>
      </w:r>
    </w:p>
    <w:p>
      <w:pPr>
        <w:pStyle w:val="Default"/>
        <w:jc w:val="right"/>
        <w:rPr/>
      </w:pPr>
      <w:r>
        <w:rPr/>
        <w:t xml:space="preserve">Приложение к </w:t>
      </w:r>
    </w:p>
    <w:p>
      <w:pPr>
        <w:pStyle w:val="Default"/>
        <w:jc w:val="right"/>
        <w:rPr/>
      </w:pPr>
      <w:r>
        <w:rPr/>
        <w:t>постановлению Администрации</w:t>
      </w:r>
    </w:p>
    <w:p>
      <w:pPr>
        <w:pStyle w:val="Default"/>
        <w:jc w:val="right"/>
        <w:rPr/>
      </w:pPr>
      <w:r>
        <w:rPr/>
        <w:t xml:space="preserve">Сандовского муниципального  округа </w:t>
      </w:r>
    </w:p>
    <w:p>
      <w:pPr>
        <w:pStyle w:val="Default"/>
        <w:jc w:val="right"/>
        <w:rPr/>
      </w:pPr>
      <w:r>
        <w:rPr/>
        <w:t xml:space="preserve">Тверской области от  </w:t>
      </w:r>
      <w:r>
        <w:rPr>
          <w:rFonts w:cs="Times New Roman"/>
          <w:color w:val="000000"/>
          <w:sz w:val="24"/>
          <w:szCs w:val="24"/>
        </w:rPr>
        <w:t>24.11.2021г</w:t>
      </w:r>
      <w:r>
        <w:rPr/>
        <w:t xml:space="preserve"> № </w:t>
      </w:r>
      <w:r>
        <w:rPr/>
        <w:t>337</w:t>
      </w:r>
      <w:r>
        <w:rPr/>
        <w:t xml:space="preserve">    </w:t>
      </w:r>
    </w:p>
    <w:p>
      <w:pPr>
        <w:pStyle w:val="Default"/>
        <w:jc w:val="center"/>
        <w:rPr/>
      </w:pPr>
      <w:r>
        <w:rPr/>
      </w:r>
    </w:p>
    <w:p>
      <w:pPr>
        <w:pStyle w:val="Default"/>
        <w:jc w:val="center"/>
        <w:rPr/>
      </w:pPr>
      <w:r>
        <w:rPr/>
      </w:r>
    </w:p>
    <w:p>
      <w:pPr>
        <w:pStyle w:val="Default"/>
        <w:jc w:val="center"/>
        <w:rPr/>
      </w:pPr>
      <w:r>
        <w:rPr/>
        <w:t>Порядок</w:t>
      </w:r>
    </w:p>
    <w:p>
      <w:pPr>
        <w:pStyle w:val="Default"/>
        <w:jc w:val="both"/>
        <w:rPr/>
      </w:pPr>
      <w:r>
        <w:rPr/>
        <w:t>внесения изменений в перечень главных администраторов доходов местного бюджета, в перечень главных администраторов источников финансирования дефицита местного бюджета.</w:t>
      </w:r>
    </w:p>
    <w:p>
      <w:pPr>
        <w:pStyle w:val="Default"/>
        <w:jc w:val="both"/>
        <w:rPr/>
      </w:pPr>
      <w:r>
        <w:rPr/>
      </w:r>
    </w:p>
    <w:p>
      <w:pPr>
        <w:pStyle w:val="Default"/>
        <w:jc w:val="both"/>
        <w:rPr/>
      </w:pPr>
      <w:r>
        <w:rPr/>
        <w:t xml:space="preserve">            </w:t>
      </w:r>
      <w:r>
        <w:rPr/>
        <w:t xml:space="preserve">1. Настоящий Порядок определяет правила и сроки внесения изменений в перечень главных администраторов доходов местного бюджета, в перечень главных администраторов источников финансирования дефицита местного бюджета. </w:t>
      </w:r>
    </w:p>
    <w:p>
      <w:pPr>
        <w:pStyle w:val="Default"/>
        <w:jc w:val="both"/>
        <w:rPr/>
      </w:pPr>
      <w:r>
        <w:rPr/>
        <w:t xml:space="preserve">            </w:t>
      </w:r>
      <w:r>
        <w:rPr/>
        <w:t xml:space="preserve">2. В случаях изменения состава и (или) функций главных администраторов доходов местного бюджета,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кодов классификации источников финансирования дефицитов бюджетов закрепление кодов классификации доходов за главными администраторами доходов местных бюджетов и закрепление кодов классификации источников финансирования дефицитов бюджетов за главными администраторами источников финансирования дефицитов местных бюджетов осуществляется на основании Приказа Финансового управления Администрации Сандовского муниципального округа без внесения изменений в Перечень главных администраторов доходов местного бюджета, в Перечень главных администраторов источников финансирования дефицита местного бюджета. </w:t>
      </w:r>
    </w:p>
    <w:p>
      <w:pPr>
        <w:pStyle w:val="Default"/>
        <w:jc w:val="both"/>
        <w:rPr/>
      </w:pPr>
      <w:r>
        <w:rPr/>
        <w:t xml:space="preserve">            </w:t>
      </w:r>
      <w:r>
        <w:rPr/>
        <w:t xml:space="preserve">3. Главные администраторы доходов местных бюджетов, главные администраторы источников финансирования дефицитов местных бюджетов направляют в Финансовое управление Администрации Сандовского муниципального округа обращение о закреплении кода классификации доходов местного бюджета или кода классификации источников финансирования дефицитов местного бюджетов. В обращении, указанном в абзаце первом настоящего пункта, указываются: </w:t>
      </w:r>
    </w:p>
    <w:p>
      <w:pPr>
        <w:pStyle w:val="Default"/>
        <w:tabs>
          <w:tab w:val="clear" w:pos="708"/>
          <w:tab w:val="left" w:pos="0" w:leader="none"/>
        </w:tabs>
        <w:ind w:firstLine="709"/>
        <w:jc w:val="both"/>
        <w:rPr/>
      </w:pPr>
      <w:r>
        <w:rPr/>
        <w:t xml:space="preserve"> </w:t>
      </w:r>
      <w:r>
        <w:rPr/>
        <w:t xml:space="preserve">наименование главных администраторов доходов местного бюджетов с указанием кодов главных администраторов доходов местного бюджетов; </w:t>
      </w:r>
    </w:p>
    <w:p>
      <w:pPr>
        <w:pStyle w:val="Default"/>
        <w:tabs>
          <w:tab w:val="clear" w:pos="708"/>
          <w:tab w:val="left" w:pos="0" w:leader="none"/>
        </w:tabs>
        <w:ind w:firstLine="709"/>
        <w:jc w:val="both"/>
        <w:rPr/>
      </w:pPr>
      <w:r>
        <w:rPr/>
        <w:t>наименование главных администраторов источников финансирования дефицита местного бюджета с указанием кодов главных администраторов источников финансирования дефицита местного бюджета;</w:t>
      </w:r>
    </w:p>
    <w:p>
      <w:pPr>
        <w:pStyle w:val="Default"/>
        <w:tabs>
          <w:tab w:val="clear" w:pos="708"/>
          <w:tab w:val="left" w:pos="0" w:leader="none"/>
        </w:tabs>
        <w:ind w:firstLine="709"/>
        <w:jc w:val="both"/>
        <w:rPr/>
      </w:pPr>
      <w:r>
        <w:rPr/>
        <w:t xml:space="preserve"> </w:t>
      </w:r>
      <w:r>
        <w:rPr/>
        <w:t>код вида (подвида) доходов местного бюджета;</w:t>
      </w:r>
    </w:p>
    <w:p>
      <w:pPr>
        <w:pStyle w:val="Default"/>
        <w:tabs>
          <w:tab w:val="clear" w:pos="708"/>
          <w:tab w:val="left" w:pos="0" w:leader="none"/>
        </w:tabs>
        <w:ind w:firstLine="709"/>
        <w:jc w:val="both"/>
        <w:rPr/>
      </w:pPr>
      <w:r>
        <w:rPr/>
        <w:t xml:space="preserve"> </w:t>
      </w:r>
      <w:r>
        <w:rPr/>
        <w:t xml:space="preserve">код группы, подгруппы, статьи и вида источников финансирования дефицита местного бюджета; </w:t>
      </w:r>
    </w:p>
    <w:p>
      <w:pPr>
        <w:pStyle w:val="Default"/>
        <w:tabs>
          <w:tab w:val="clear" w:pos="708"/>
          <w:tab w:val="left" w:pos="0" w:leader="none"/>
        </w:tabs>
        <w:ind w:firstLine="709"/>
        <w:jc w:val="both"/>
        <w:rPr/>
      </w:pPr>
      <w:r>
        <w:rPr/>
        <w:t xml:space="preserve"> </w:t>
      </w:r>
      <w:r>
        <w:rPr/>
        <w:t>реквизиты нормативно правовых актов Российской Федерации, нормативных правовых актов Тверской области, муниципальных правовых актов, устанавливающих правовые основания возникновения доходов местного бюджета, источников финансирования дефицита местного бюджета;</w:t>
      </w:r>
    </w:p>
    <w:p>
      <w:pPr>
        <w:pStyle w:val="Default"/>
        <w:tabs>
          <w:tab w:val="clear" w:pos="708"/>
          <w:tab w:val="left" w:pos="0" w:leader="none"/>
        </w:tabs>
        <w:ind w:firstLine="709"/>
        <w:jc w:val="both"/>
        <w:rPr/>
      </w:pPr>
      <w:r>
        <w:rPr/>
        <w:t xml:space="preserve"> </w:t>
      </w:r>
      <w:r>
        <w:rPr/>
        <w:t>информация о порядке исчисления, размерах, ставках, льготах, сроках и (или) условиях уплаты платежей, являющихся доходами местного бюджета, реквизиты устанавливающих их нормативных правовых актов Российской Федерации, нормативных правовых актов Тверской области, муниципальных правовых актов.</w:t>
      </w:r>
    </w:p>
    <w:p>
      <w:pPr>
        <w:pStyle w:val="Default"/>
        <w:tabs>
          <w:tab w:val="clear" w:pos="708"/>
          <w:tab w:val="left" w:pos="0" w:leader="none"/>
        </w:tabs>
        <w:ind w:firstLine="709"/>
        <w:jc w:val="both"/>
        <w:rPr/>
      </w:pPr>
      <w:r>
        <w:rPr/>
        <w:t xml:space="preserve"> </w:t>
      </w:r>
      <w:r>
        <w:rPr/>
        <w:t xml:space="preserve">4. Разработка и утверждение Приказа осуществляется в течение 30 рабочих дней со дня поступления обращения, указанного в абзаце первом пункта 3 настоящего Порядка, в Финансовое управление Администрации Сандовского муниципального округа. </w:t>
      </w:r>
    </w:p>
    <w:p>
      <w:pPr>
        <w:pStyle w:val="Default"/>
        <w:tabs>
          <w:tab w:val="clear" w:pos="708"/>
          <w:tab w:val="left" w:pos="0" w:leader="none"/>
        </w:tabs>
        <w:ind w:firstLine="709"/>
        <w:jc w:val="both"/>
        <w:rPr/>
      </w:pPr>
      <w:r>
        <w:rPr/>
        <w:t>5. Актуализация перечня главных администраторов доходов местного бюджета, перечня главных администраторов источников финансирования дефицита местного бюджета осуществляется при необходимости до начала очередного финансового года при формировании проекта местного бюджета на очередной финансовый год и плановый период.</w:t>
      </w:r>
    </w:p>
    <w:p>
      <w:pPr>
        <w:pStyle w:val="Default"/>
        <w:tabs>
          <w:tab w:val="clear" w:pos="708"/>
          <w:tab w:val="left" w:pos="0" w:leader="none"/>
        </w:tabs>
        <w:ind w:firstLine="709"/>
        <w:jc w:val="both"/>
        <w:rPr/>
      </w:pPr>
      <w:r>
        <w:rPr/>
      </w:r>
    </w:p>
    <w:p>
      <w:pPr>
        <w:pStyle w:val="Default"/>
        <w:tabs>
          <w:tab w:val="clear" w:pos="708"/>
          <w:tab w:val="left" w:pos="0" w:leader="none"/>
        </w:tabs>
        <w:ind w:firstLine="709"/>
        <w:jc w:val="both"/>
        <w:rPr/>
      </w:pPr>
      <w:r>
        <w:rPr/>
      </w:r>
    </w:p>
    <w:p>
      <w:pPr>
        <w:pStyle w:val="Default"/>
        <w:tabs>
          <w:tab w:val="clear" w:pos="708"/>
          <w:tab w:val="left" w:pos="0" w:leader="none"/>
        </w:tabs>
        <w:jc w:val="both"/>
        <w:rPr/>
      </w:pPr>
      <w:r>
        <w:rPr/>
        <w:t>Управляющий делами Администрации</w:t>
      </w:r>
    </w:p>
    <w:p>
      <w:pPr>
        <w:pStyle w:val="Default"/>
        <w:tabs>
          <w:tab w:val="clear" w:pos="708"/>
          <w:tab w:val="left" w:pos="0" w:leader="none"/>
        </w:tabs>
        <w:jc w:val="both"/>
        <w:rPr>
          <w:sz w:val="28"/>
          <w:szCs w:val="28"/>
        </w:rPr>
      </w:pPr>
      <w:r>
        <w:rPr/>
        <w:t>Сандовского муниципального округа                                                            Г.И.Горохова</w:t>
      </w:r>
    </w:p>
    <w:sectPr>
      <w:type w:val="nextPage"/>
      <w:pgSz w:w="11906" w:h="16838"/>
      <w:pgMar w:left="1155" w:right="850" w:gutter="0" w:header="0" w:top="360" w:footer="0" w:bottom="32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b6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cc2bee"/>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Default" w:customStyle="1">
    <w:name w:val="Default"/>
    <w:qFormat/>
    <w:rsid w:val="00b13435"/>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BalloonText">
    <w:name w:val="Balloon Text"/>
    <w:basedOn w:val="Normal"/>
    <w:link w:val="a4"/>
    <w:uiPriority w:val="99"/>
    <w:semiHidden/>
    <w:unhideWhenUsed/>
    <w:qFormat/>
    <w:rsid w:val="00cc2bee"/>
    <w:pPr/>
    <w:rPr>
      <w:rFonts w:ascii="Tahoma" w:hAnsi="Tahoma" w:cs="Tahoma"/>
      <w:sz w:val="16"/>
      <w:szCs w:val="16"/>
    </w:rPr>
  </w:style>
  <w:style w:type="paragraph" w:styleId="Standard">
    <w:name w:val="Standard"/>
    <w:qFormat/>
    <w:pPr>
      <w:widowControl w:val="false"/>
      <w:suppressAutoHyphens w:val="true"/>
      <w:bidi w:val="0"/>
      <w:spacing w:lineRule="auto" w:line="276" w:before="0" w:after="200"/>
      <w:jc w:val="left"/>
      <w:textAlignment w:val="baseline"/>
    </w:pPr>
    <w:rPr>
      <w:rFonts w:ascii="Times New Roman" w:hAnsi="Times New Roman" w:eastAsia="Andale Sans UI" w:cs="Tahoma"/>
      <w:color w:val="auto"/>
      <w:kern w:val="2"/>
      <w:sz w:val="24"/>
      <w:szCs w:val="24"/>
      <w:lang w:val="ru-RU" w:eastAsia="zh-CN" w:bidi="ru-RU"/>
    </w:rPr>
  </w:style>
  <w:style w:type="paragraph" w:styleId="Style20">
    <w:name w:val="Subtitle"/>
    <w:basedOn w:val="Style15"/>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LibreOffice/7.2.2.2$Windows_x86 LibreOffice_project/02b2acce88a210515b4a5bb2e46cbfb63fe97d56</Application>
  <AppVersion>15.0000</AppVersion>
  <Pages>2</Pages>
  <Words>645</Words>
  <Characters>5286</Characters>
  <CharactersWithSpaces>6151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2021-11-24T07:36:00Z</dcterms:created>
  <dc:creator>Gl_Buhgalter</dc:creator>
  <dc:description/>
  <dc:language>ru-RU</dc:language>
  <cp:lastModifiedBy/>
  <cp:lastPrinted>2021-11-24T10:42:03Z</cp:lastPrinted>
  <dcterms:modified xsi:type="dcterms:W3CDTF">2021-11-24T10:42:42Z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