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Liberation Serif" w:hAnsi="Liberation Serif"/>
          <w:sz w:val="24"/>
        </w:rPr>
        <w:drawing>
          <wp:inline>
            <wp:extent cx="393954" cy="485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 xml:space="preserve">АДМИНИСТРАЦИЯ </w:t>
      </w: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САНДОВСКОГО МУНИЦИПАЛЬНОГО ОКРУГА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Тверской области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ПОСТАНОВЛЕНИЕ</w:t>
      </w:r>
    </w:p>
    <w:p w14:paraId="0600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8"/>
        </w:rPr>
        <w:t xml:space="preserve">13.10.2021      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. Сандово                  </w:t>
      </w:r>
      <w:r>
        <w:rPr>
          <w:rFonts w:ascii="Times New Roman" w:hAnsi="Times New Roman"/>
          <w:sz w:val="28"/>
        </w:rPr>
        <w:t xml:space="preserve">                            № 287    </w:t>
      </w:r>
      <w:r>
        <w:rPr>
          <w:rFonts w:ascii="Times New Roman" w:hAnsi="Times New Roman"/>
          <w:color w:val="000000"/>
          <w:sz w:val="24"/>
        </w:rPr>
        <w:t>        </w:t>
      </w:r>
    </w:p>
    <w:p w14:paraId="07000000">
      <w:pPr>
        <w:spacing w:after="0" w:line="180" w:lineRule="atLeast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 основных направлениях бюджетной и</w:t>
      </w:r>
    </w:p>
    <w:p w14:paraId="08000000">
      <w:pPr>
        <w:spacing w:after="0" w:line="180" w:lineRule="atLeast"/>
        <w:ind w:firstLine="0" w:left="-425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налоговой политики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</w:t>
      </w:r>
    </w:p>
    <w:p w14:paraId="09000000">
      <w:pPr>
        <w:spacing w:after="0" w:line="180" w:lineRule="atLeast"/>
        <w:ind w:firstLine="0" w:left="-56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округа Тверской </w:t>
      </w:r>
      <w:r>
        <w:rPr>
          <w:rFonts w:ascii="Times New Roman" w:hAnsi="Times New Roman"/>
          <w:color w:val="000000"/>
          <w:sz w:val="28"/>
        </w:rPr>
        <w:t>области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год и </w:t>
      </w:r>
      <w:r>
        <w:rPr>
          <w:rFonts w:ascii="Times New Roman" w:hAnsi="Times New Roman"/>
          <w:color w:val="000000"/>
          <w:sz w:val="28"/>
        </w:rPr>
        <w:t>плановый  период</w:t>
      </w:r>
      <w:r>
        <w:rPr>
          <w:rFonts w:ascii="Times New Roman" w:hAnsi="Times New Roman"/>
          <w:color w:val="000000"/>
          <w:sz w:val="28"/>
        </w:rPr>
        <w:t xml:space="preserve"> 2023 и 2024 годов</w:t>
      </w:r>
    </w:p>
    <w:p w14:paraId="0A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0B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разработки проекта бюджета </w:t>
      </w:r>
      <w:r>
        <w:rPr>
          <w:rFonts w:ascii="Times New Roman" w:hAnsi="Times New Roman"/>
          <w:color w:val="000000"/>
          <w:sz w:val="28"/>
        </w:rPr>
        <w:t xml:space="preserve">Сандовского </w:t>
      </w: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Тверской </w:t>
      </w:r>
      <w:r>
        <w:rPr>
          <w:rFonts w:ascii="Times New Roman" w:hAnsi="Times New Roman"/>
          <w:color w:val="000000"/>
          <w:sz w:val="28"/>
        </w:rPr>
        <w:t xml:space="preserve"> области  на 2022 год и на плановый период 2023 и 2024 годов, в соответствии с требованиями статьи 172 Бюджетного кодекса Российской Федерации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решением </w:t>
      </w:r>
      <w:r>
        <w:rPr>
          <w:rFonts w:ascii="Times New Roman" w:hAnsi="Times New Roman"/>
          <w:color w:val="000000"/>
          <w:sz w:val="28"/>
        </w:rPr>
        <w:t xml:space="preserve">Думы Сандовского муниципального округа </w:t>
      </w:r>
      <w:r>
        <w:rPr>
          <w:rFonts w:ascii="Times New Roman" w:hAnsi="Times New Roman"/>
          <w:color w:val="000000"/>
          <w:sz w:val="28"/>
        </w:rPr>
        <w:t>от 06.10.</w:t>
      </w:r>
      <w:r>
        <w:rPr>
          <w:rFonts w:ascii="Times New Roman" w:hAnsi="Times New Roman"/>
          <w:color w:val="000000"/>
          <w:sz w:val="28"/>
        </w:rPr>
        <w:t xml:space="preserve"> 2020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 xml:space="preserve">25 </w:t>
      </w:r>
      <w:r>
        <w:rPr>
          <w:rFonts w:ascii="Times New Roman" w:hAnsi="Times New Roman"/>
          <w:color w:val="000000"/>
          <w:sz w:val="28"/>
        </w:rPr>
        <w:t xml:space="preserve"> «Об утверждении Положения  о бюджетном процессе в </w:t>
      </w:r>
      <w:r>
        <w:rPr>
          <w:rFonts w:ascii="Times New Roman" w:hAnsi="Times New Roman"/>
          <w:color w:val="000000"/>
          <w:sz w:val="28"/>
        </w:rPr>
        <w:t xml:space="preserve">Сандовском муниципальном округе Тверской </w:t>
      </w:r>
      <w:r>
        <w:rPr>
          <w:rFonts w:ascii="Times New Roman" w:hAnsi="Times New Roman"/>
          <w:color w:val="000000"/>
          <w:sz w:val="28"/>
        </w:rPr>
        <w:t xml:space="preserve">области», Администрация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округа </w:t>
      </w:r>
    </w:p>
    <w:p w14:paraId="0C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ПОСТАНОВЛЯЕТ:</w:t>
      </w:r>
    </w:p>
    <w:p w14:paraId="0D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Утвердить Основные направления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Тверской </w:t>
      </w:r>
      <w:r>
        <w:rPr>
          <w:rFonts w:ascii="Times New Roman" w:hAnsi="Times New Roman"/>
          <w:color w:val="000000"/>
          <w:sz w:val="28"/>
        </w:rPr>
        <w:t xml:space="preserve"> области</w:t>
      </w:r>
      <w:r>
        <w:rPr>
          <w:rFonts w:ascii="Times New Roman" w:hAnsi="Times New Roman"/>
          <w:color w:val="000000"/>
          <w:sz w:val="28"/>
        </w:rPr>
        <w:t xml:space="preserve"> на 2022 год и на плановый период 2023 и 2024 годов</w:t>
      </w:r>
      <w:r>
        <w:rPr>
          <w:rFonts w:ascii="Times New Roman" w:hAnsi="Times New Roman"/>
          <w:color w:val="000000"/>
          <w:sz w:val="28"/>
        </w:rPr>
        <w:t xml:space="preserve"> (Прилагаются)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Финансовому управлению Администрации Сандовского муниципального </w:t>
      </w:r>
      <w:r>
        <w:rPr>
          <w:rFonts w:ascii="Times New Roman" w:hAnsi="Times New Roman"/>
          <w:color w:val="000000"/>
          <w:sz w:val="28"/>
        </w:rPr>
        <w:t xml:space="preserve">округа </w:t>
      </w:r>
      <w:r>
        <w:rPr>
          <w:rFonts w:ascii="Times New Roman" w:hAnsi="Times New Roman"/>
          <w:color w:val="000000"/>
          <w:sz w:val="28"/>
        </w:rPr>
        <w:t xml:space="preserve"> при</w:t>
      </w:r>
      <w:r>
        <w:rPr>
          <w:rFonts w:ascii="Times New Roman" w:hAnsi="Times New Roman"/>
          <w:color w:val="000000"/>
          <w:sz w:val="28"/>
        </w:rPr>
        <w:t xml:space="preserve"> разработке проекта бюджета  муниципального</w:t>
      </w:r>
      <w:r>
        <w:rPr>
          <w:rFonts w:ascii="Times New Roman" w:hAnsi="Times New Roman"/>
          <w:color w:val="000000"/>
          <w:sz w:val="28"/>
        </w:rPr>
        <w:t xml:space="preserve"> округа </w:t>
      </w:r>
      <w:r>
        <w:rPr>
          <w:rFonts w:ascii="Times New Roman" w:hAnsi="Times New Roman"/>
          <w:color w:val="000000"/>
          <w:sz w:val="28"/>
        </w:rPr>
        <w:t xml:space="preserve"> на 2022 год и на плановый период 2023 и 2024 годов обеспечить соблюдение основных направлений бюджетной и налоговой политики.</w:t>
      </w:r>
    </w:p>
    <w:p w14:paraId="0F000000">
      <w:pPr>
        <w:spacing w:after="28" w:before="10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Настоящее Постановление вступает в силу со дня его подписания и подлежит размещению на сайте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1000000">
      <w:pPr>
        <w:spacing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Глава Сандовского муниципального округа                              </w:t>
      </w:r>
      <w:r>
        <w:rPr>
          <w:rFonts w:ascii="Times New Roman" w:hAnsi="Times New Roman"/>
          <w:color w:val="000000"/>
          <w:sz w:val="28"/>
        </w:rPr>
        <w:t>О.Н.Грязнов</w:t>
      </w:r>
    </w:p>
    <w:p w14:paraId="12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14:paraId="13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4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5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6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7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8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</w:p>
    <w:p w14:paraId="19000000">
      <w:pPr>
        <w:spacing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</w:t>
      </w:r>
    </w:p>
    <w:p w14:paraId="1A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Приложение </w:t>
      </w:r>
    </w:p>
    <w:p w14:paraId="1B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к Постановлению Администрации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муниципального округа № 287 от 13.10.2021г.</w:t>
      </w:r>
    </w:p>
    <w:p w14:paraId="1D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</w:p>
    <w:p w14:paraId="1E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1F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20000000">
      <w:pPr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Основные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 xml:space="preserve">Сандовского </w:t>
      </w:r>
      <w:r>
        <w:rPr>
          <w:rFonts w:ascii="Times New Roman" w:hAnsi="Times New Roman"/>
          <w:b w:val="1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b w:val="1"/>
          <w:color w:val="000000"/>
          <w:sz w:val="22"/>
        </w:rPr>
        <w:t xml:space="preserve">округа </w:t>
      </w:r>
      <w:r>
        <w:rPr>
          <w:rFonts w:ascii="Times New Roman" w:hAnsi="Times New Roman"/>
          <w:b w:val="1"/>
          <w:color w:val="000000"/>
          <w:sz w:val="22"/>
        </w:rPr>
        <w:t xml:space="preserve">Тверской </w:t>
      </w:r>
      <w:r>
        <w:rPr>
          <w:rFonts w:ascii="Times New Roman" w:hAnsi="Times New Roman"/>
          <w:b w:val="1"/>
          <w:color w:val="000000"/>
          <w:sz w:val="22"/>
        </w:rPr>
        <w:t xml:space="preserve"> области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на 2022 год и плановый период 2023 и 2024 годов.</w:t>
      </w:r>
    </w:p>
    <w:p w14:paraId="2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8"/>
          <w:sz w:val="22"/>
        </w:rPr>
        <w:t>Основные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(далее –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) на 2022 год и на плановый период 2023 и 2024 годов определены в соответствии с Бюджетным  кодексом  Российской Федерации, Посланием Президента     Российской Федерации Федеральному Собранию  от  21.04.2021 года, Федеральным  законом от 06.10.2003 № 131-ФЗ «Об общих принципах  организации местного самоуправления в Российской Федерации», Указов Президента РФ от 07.05.2018 </w:t>
      </w:r>
      <w:r>
        <w:rPr>
          <w:rFonts w:ascii="Times New Roman" w:hAnsi="Times New Roman"/>
          <w:color w:val="454545"/>
          <w:sz w:val="22"/>
          <w:u w:val="single"/>
        </w:rPr>
        <w:fldChar w:fldCharType="begin"/>
      </w:r>
      <w:r>
        <w:rPr>
          <w:rFonts w:ascii="Times New Roman" w:hAnsi="Times New Roman"/>
          <w:color w:val="454545"/>
          <w:sz w:val="22"/>
          <w:u w:val="single"/>
        </w:rPr>
        <w:instrText>HYPERLINK "consultantplus://offline/ref=CC0EA47D99B3A06430D9AB76E8C5FC0EB63BB840BBED06AEEEBC0E16BCB6DFAE402A6C3183BF30B7C1350A3EF7Y2mFN"</w:instrText>
      </w:r>
      <w:r>
        <w:rPr>
          <w:rFonts w:ascii="Times New Roman" w:hAnsi="Times New Roman"/>
          <w:color w:val="454545"/>
          <w:sz w:val="22"/>
          <w:u w:val="single"/>
        </w:rPr>
        <w:fldChar w:fldCharType="separate"/>
      </w:r>
      <w:r>
        <w:rPr>
          <w:rFonts w:ascii="Times New Roman" w:hAnsi="Times New Roman"/>
          <w:color w:val="454545"/>
          <w:sz w:val="22"/>
          <w:u w:val="single"/>
        </w:rPr>
        <w:t>№</w:t>
      </w:r>
      <w:r>
        <w:rPr>
          <w:rFonts w:ascii="Times New Roman" w:hAnsi="Times New Roman"/>
          <w:color w:val="454545"/>
          <w:sz w:val="22"/>
          <w:u w:val="single"/>
        </w:rPr>
        <w:fldChar w:fldCharType="end"/>
      </w:r>
      <w:r>
        <w:rPr>
          <w:rFonts w:ascii="Times New Roman" w:hAnsi="Times New Roman"/>
          <w:color w:val="0000FF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204</w:t>
      </w:r>
      <w:r>
        <w:rPr>
          <w:rFonts w:ascii="Times New Roman" w:hAnsi="Times New Roman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"О национальных целях и стратегических задачах развития Российской Федерации на период до 2024 года" и от 21.07.2020 </w:t>
      </w:r>
      <w:r>
        <w:rPr>
          <w:rFonts w:ascii="Times New Roman" w:hAnsi="Times New Roman"/>
          <w:color w:val="454545"/>
          <w:sz w:val="22"/>
          <w:u w:val="single"/>
        </w:rPr>
        <w:fldChar w:fldCharType="begin"/>
      </w:r>
      <w:r>
        <w:rPr>
          <w:rFonts w:ascii="Times New Roman" w:hAnsi="Times New Roman"/>
          <w:color w:val="454545"/>
          <w:sz w:val="22"/>
          <w:u w:val="single"/>
        </w:rPr>
        <w:instrText>HYPERLINK "consultantplus://offline/ref=CC0EA47D99B3A06430D9AB76E8C5FC0EB63BB749BBEC06AEEEBC0E16BCB6DFAE402A6C3183BF30B7C1350A3EF7Y2mFN"</w:instrText>
      </w:r>
      <w:r>
        <w:rPr>
          <w:rFonts w:ascii="Times New Roman" w:hAnsi="Times New Roman"/>
          <w:color w:val="454545"/>
          <w:sz w:val="22"/>
          <w:u w:val="single"/>
        </w:rPr>
        <w:fldChar w:fldCharType="separate"/>
      </w:r>
      <w:r>
        <w:rPr>
          <w:rFonts w:ascii="Times New Roman" w:hAnsi="Times New Roman"/>
          <w:color w:val="454545"/>
          <w:sz w:val="22"/>
          <w:u w:val="single"/>
        </w:rPr>
        <w:t>№</w:t>
      </w:r>
      <w:r>
        <w:rPr>
          <w:rFonts w:ascii="Times New Roman" w:hAnsi="Times New Roman"/>
          <w:color w:val="454545"/>
          <w:sz w:val="22"/>
          <w:u w:val="single"/>
        </w:rPr>
        <w:fldChar w:fldCharType="end"/>
      </w:r>
      <w:r>
        <w:rPr>
          <w:rFonts w:ascii="Times New Roman" w:hAnsi="Times New Roman"/>
          <w:color w:val="0000FF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>474</w:t>
      </w:r>
      <w:r>
        <w:rPr>
          <w:rFonts w:ascii="Times New Roman" w:hAnsi="Times New Roman"/>
          <w:color w:val="000000"/>
          <w:sz w:val="22"/>
        </w:rPr>
        <w:t xml:space="preserve"> "О национальных целях развития Российской Федерации на период до 2030 года",   прогнозом социально-экономического развития </w:t>
      </w:r>
      <w:r>
        <w:rPr>
          <w:rFonts w:ascii="Times New Roman" w:hAnsi="Times New Roman"/>
          <w:color w:val="000000"/>
          <w:sz w:val="22"/>
        </w:rPr>
        <w:t xml:space="preserve">Сандовского муниципального округа </w:t>
      </w:r>
      <w:r>
        <w:rPr>
          <w:rFonts w:ascii="Times New Roman" w:hAnsi="Times New Roman"/>
          <w:color w:val="000000"/>
          <w:sz w:val="22"/>
        </w:rPr>
        <w:t>и  определяют основные цели, задачи и направления бюджетной и налоговой политики</w:t>
      </w:r>
      <w:r>
        <w:rPr>
          <w:rFonts w:ascii="Times New Roman" w:hAnsi="Times New Roman"/>
          <w:color w:val="000000"/>
          <w:sz w:val="22"/>
        </w:rPr>
        <w:t xml:space="preserve"> 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 (далее – бюджетная и налоговая политика) в области доходов и расходов </w:t>
      </w:r>
      <w:r>
        <w:rPr>
          <w:rFonts w:ascii="Times New Roman" w:hAnsi="Times New Roman"/>
          <w:color w:val="000000"/>
          <w:spacing w:val="-10"/>
          <w:sz w:val="22"/>
        </w:rPr>
        <w:t xml:space="preserve">бюджета </w:t>
      </w:r>
      <w:r>
        <w:rPr>
          <w:rFonts w:ascii="Times New Roman" w:hAnsi="Times New Roman"/>
          <w:color w:val="000000"/>
          <w:spacing w:val="-10"/>
          <w:sz w:val="22"/>
        </w:rPr>
        <w:t>муниципального округа</w:t>
      </w:r>
      <w:r>
        <w:rPr>
          <w:rFonts w:ascii="Times New Roman" w:hAnsi="Times New Roman"/>
          <w:color w:val="000000"/>
          <w:spacing w:val="-10"/>
          <w:sz w:val="22"/>
        </w:rPr>
        <w:t>, управления муниципальным долгом </w:t>
      </w:r>
      <w:r>
        <w:rPr>
          <w:rFonts w:ascii="Times New Roman" w:hAnsi="Times New Roman"/>
          <w:color w:val="000000"/>
          <w:sz w:val="22"/>
        </w:rPr>
        <w:t>и являются основой для составления </w:t>
      </w:r>
      <w:r>
        <w:rPr>
          <w:rFonts w:ascii="Times New Roman" w:hAnsi="Times New Roman"/>
          <w:color w:val="000000"/>
          <w:spacing w:val="-4"/>
          <w:sz w:val="22"/>
        </w:rPr>
        <w:t>проекта бюджета</w:t>
      </w:r>
      <w:r>
        <w:rPr>
          <w:rFonts w:ascii="Times New Roman" w:hAnsi="Times New Roman"/>
          <w:color w:val="000000"/>
          <w:sz w:val="22"/>
        </w:rPr>
        <w:t> 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/>
          <w:color w:val="000000"/>
          <w:spacing w:val="-4"/>
          <w:sz w:val="22"/>
        </w:rPr>
        <w:t>на 2022 год и на плановый период 2023 и 2024 годов.</w:t>
      </w:r>
    </w:p>
    <w:p w14:paraId="2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 Основные итоги бюджетной и налоговой политики</w:t>
      </w:r>
    </w:p>
    <w:p w14:paraId="2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 2020 году и в начале 2021 года</w:t>
      </w:r>
    </w:p>
    <w:p w14:paraId="2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Основные итоги реализации основных направлений бюджетной и налоговой политики в 2020 году и в первом полугодии 2021 года:</w:t>
      </w:r>
    </w:p>
    <w:p w14:paraId="2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вовлечены в хозяйственный оборот неиспользуемые объекты недвижимости и земельные участки, осуществлен муниципальный земельный контроль;</w:t>
      </w:r>
    </w:p>
    <w:p w14:paraId="2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продолжена работа, направленная на повышение собираемости платежей в </w:t>
      </w:r>
      <w:r>
        <w:rPr>
          <w:rFonts w:ascii="Times New Roman" w:hAnsi="Times New Roman"/>
          <w:color w:val="000000"/>
          <w:sz w:val="22"/>
        </w:rPr>
        <w:t xml:space="preserve">бюджет </w:t>
      </w:r>
      <w:r>
        <w:rPr>
          <w:rFonts w:ascii="Times New Roman" w:hAnsi="Times New Roman"/>
          <w:color w:val="000000"/>
          <w:sz w:val="22"/>
        </w:rPr>
        <w:t xml:space="preserve"> муниципального</w:t>
      </w:r>
      <w:r>
        <w:rPr>
          <w:rFonts w:ascii="Times New Roman" w:hAnsi="Times New Roman"/>
          <w:color w:val="000000"/>
          <w:sz w:val="22"/>
        </w:rPr>
        <w:t xml:space="preserve"> округа</w:t>
      </w:r>
      <w:r>
        <w:rPr>
          <w:rFonts w:ascii="Times New Roman" w:hAnsi="Times New Roman"/>
          <w:color w:val="000000"/>
          <w:sz w:val="22"/>
        </w:rPr>
        <w:t>, провед</w:t>
      </w:r>
      <w:r>
        <w:rPr>
          <w:rFonts w:ascii="Times New Roman" w:hAnsi="Times New Roman"/>
          <w:color w:val="000000"/>
          <w:sz w:val="22"/>
        </w:rPr>
        <w:t>ена</w:t>
      </w:r>
      <w:r>
        <w:rPr>
          <w:rFonts w:ascii="Times New Roman" w:hAnsi="Times New Roman"/>
          <w:color w:val="000000"/>
          <w:sz w:val="22"/>
        </w:rPr>
        <w:t xml:space="preserve"> претензионн</w:t>
      </w:r>
      <w:r>
        <w:rPr>
          <w:rFonts w:ascii="Times New Roman" w:hAnsi="Times New Roman"/>
          <w:color w:val="000000"/>
          <w:sz w:val="22"/>
        </w:rPr>
        <w:t>ая</w:t>
      </w:r>
      <w:r>
        <w:rPr>
          <w:rFonts w:ascii="Times New Roman" w:hAnsi="Times New Roman"/>
          <w:color w:val="000000"/>
          <w:sz w:val="22"/>
        </w:rPr>
        <w:t xml:space="preserve"> работ</w:t>
      </w:r>
      <w:r>
        <w:rPr>
          <w:rFonts w:ascii="Times New Roman" w:hAnsi="Times New Roman"/>
          <w:color w:val="000000"/>
          <w:sz w:val="22"/>
        </w:rPr>
        <w:t>а</w:t>
      </w:r>
      <w:r>
        <w:rPr>
          <w:rFonts w:ascii="Times New Roman" w:hAnsi="Times New Roman"/>
          <w:color w:val="000000"/>
          <w:sz w:val="22"/>
        </w:rPr>
        <w:t xml:space="preserve"> с должниками перед бюджетом</w:t>
      </w:r>
      <w:r>
        <w:rPr>
          <w:rFonts w:ascii="Times New Roman" w:hAnsi="Times New Roman"/>
          <w:color w:val="000000"/>
          <w:sz w:val="22"/>
        </w:rPr>
        <w:t xml:space="preserve"> муниципального округа;</w:t>
      </w:r>
      <w:r>
        <w:rPr>
          <w:rFonts w:ascii="Times New Roman" w:hAnsi="Times New Roman"/>
          <w:color w:val="000000"/>
          <w:sz w:val="22"/>
        </w:rPr>
        <w:t xml:space="preserve">, </w:t>
      </w:r>
    </w:p>
    <w:p w14:paraId="2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привлечены в бюджет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межбюджетные трансферты из федерального и областного бюджетов для </w:t>
      </w:r>
      <w:r>
        <w:rPr>
          <w:rFonts w:ascii="Times New Roman" w:hAnsi="Times New Roman"/>
          <w:color w:val="000000"/>
          <w:sz w:val="22"/>
        </w:rPr>
        <w:t>софинансирования</w:t>
      </w:r>
      <w:r>
        <w:rPr>
          <w:rFonts w:ascii="Times New Roman" w:hAnsi="Times New Roman"/>
          <w:color w:val="000000"/>
          <w:sz w:val="22"/>
        </w:rPr>
        <w:t xml:space="preserve"> наиболее приоритетных направлений развития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>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2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Для бюджетной системы 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>муниципального округа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 в 2021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14:paraId="2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Снижены показатели прогноза социально-экономического развития 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>муниципального округа</w:t>
      </w:r>
      <w:r>
        <w:rPr>
          <w:rFonts w:ascii="Times New Roman" w:hAnsi="Times New Roman"/>
          <w:color w:val="2D2D2D"/>
          <w:spacing w:val="2"/>
          <w:sz w:val="22"/>
          <w:highlight w:val="white"/>
        </w:rPr>
        <w:t xml:space="preserve"> на 2021 год и на 2022 - 2023 годы.</w:t>
      </w:r>
    </w:p>
    <w:p w14:paraId="2C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2D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2. Цели и задачи бюджетной и налоговой политики на 2022 год</w:t>
      </w:r>
    </w:p>
    <w:p w14:paraId="2E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и на плановый период 2023 и 2024 годов</w:t>
      </w:r>
    </w:p>
    <w:p w14:paraId="2F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 </w:t>
      </w:r>
    </w:p>
    <w:p w14:paraId="3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Бюджетная и налоговая политика на 2022 год и на плановый период 2023-2024 годов ориентирована на преемственность базовых целей и задач, поставленных в основных направлениях бюджетной и налоговой политики на 2021 год.</w:t>
      </w:r>
    </w:p>
    <w:p w14:paraId="3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Главными целями бюджетной и налоговой политики на 2022 год и на плановый период 2023-2024 годов являются:</w:t>
      </w:r>
    </w:p>
    <w:p w14:paraId="3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обеспечение социальной и экономической стабильности, сбалансированности и устойчивости бюджета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33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</w:t>
      </w:r>
      <w:r>
        <w:rPr>
          <w:rFonts w:ascii="Times New Roman" w:hAnsi="Times New Roman"/>
          <w:color w:val="000000"/>
          <w:sz w:val="22"/>
        </w:rPr>
        <w:t>повышение эффективности и результативности бюджетных расходов;</w:t>
      </w:r>
    </w:p>
    <w:p w14:paraId="3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color w:val="000000"/>
          <w:sz w:val="22"/>
        </w:rPr>
        <w:t>стимулировани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развития налогового потенциала;</w:t>
      </w:r>
    </w:p>
    <w:p w14:paraId="3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 xml:space="preserve">риоритезация расходов в целях финансового обеспечения обязательств, связанных с достижением целевых показателей муниципальных </w:t>
      </w:r>
      <w:r>
        <w:rPr>
          <w:rFonts w:ascii="Times New Roman" w:hAnsi="Times New Roman"/>
          <w:sz w:val="22"/>
        </w:rPr>
        <w:t>программ  включая</w:t>
      </w:r>
      <w:r>
        <w:rPr>
          <w:rFonts w:ascii="Times New Roman" w:hAnsi="Times New Roman"/>
          <w:sz w:val="22"/>
        </w:rPr>
        <w:t xml:space="preserve"> результаты региональных проектов, обеспечивающие достижение федеральных проектов, входящих в состав национальных проектов</w:t>
      </w:r>
      <w:r>
        <w:rPr>
          <w:rFonts w:ascii="Times New Roman" w:hAnsi="Times New Roman"/>
          <w:sz w:val="22"/>
        </w:rPr>
        <w:t>;</w:t>
      </w:r>
    </w:p>
    <w:p w14:paraId="36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- </w:t>
      </w:r>
      <w:r>
        <w:rPr>
          <w:rFonts w:ascii="Times New Roman" w:hAnsi="Times New Roman"/>
          <w:color w:val="000000"/>
          <w:sz w:val="22"/>
        </w:rPr>
        <w:t>повышени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открытости</w:t>
      </w:r>
      <w:r>
        <w:rPr>
          <w:rFonts w:ascii="Times New Roman" w:hAnsi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 xml:space="preserve">эффективности и прозрачности муниципального </w:t>
      </w:r>
      <w:r>
        <w:rPr>
          <w:rFonts w:ascii="Times New Roman" w:hAnsi="Times New Roman"/>
          <w:color w:val="000000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>упра</w:t>
      </w:r>
      <w:r>
        <w:rPr>
          <w:rFonts w:ascii="Times New Roman" w:hAnsi="Times New Roman"/>
          <w:color w:val="000000"/>
          <w:sz w:val="22"/>
        </w:rPr>
        <w:t>вления;</w:t>
      </w:r>
    </w:p>
    <w:p w14:paraId="37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 xml:space="preserve">- создание максимально благоприятных условий для развития малого и среднего предпринимательства; </w:t>
      </w:r>
    </w:p>
    <w:p w14:paraId="38000000">
      <w:pPr>
        <w:spacing w:after="0" w:before="0"/>
        <w:ind w:firstLine="0" w:left="0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14:paraId="39000000">
      <w:pPr>
        <w:spacing w:after="0" w:before="0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>- содействие повышению качества муниципальных услуг</w:t>
      </w:r>
      <w:r>
        <w:rPr>
          <w:rFonts w:ascii="Times New Roman" w:hAnsi="Times New Roman"/>
          <w:sz w:val="22"/>
        </w:rPr>
        <w:t>.</w:t>
      </w:r>
    </w:p>
    <w:p w14:paraId="3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</w:p>
    <w:p w14:paraId="3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Исходя из поставленных целей, необходимо обеспечить решение следующих основных задач:</w:t>
      </w:r>
    </w:p>
    <w:p w14:paraId="3C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поддержание достигнутого уровня жизни населения и сохранение социальной стабильности в </w:t>
      </w:r>
      <w:r>
        <w:rPr>
          <w:rFonts w:ascii="Times New Roman" w:hAnsi="Times New Roman"/>
          <w:color w:val="000000"/>
          <w:sz w:val="22"/>
        </w:rPr>
        <w:t xml:space="preserve">муниципальном </w:t>
      </w:r>
      <w:r>
        <w:rPr>
          <w:rFonts w:ascii="Times New Roman" w:hAnsi="Times New Roman"/>
          <w:color w:val="000000"/>
          <w:sz w:val="22"/>
        </w:rPr>
        <w:t>округе</w:t>
      </w:r>
      <w:r>
        <w:rPr>
          <w:rFonts w:ascii="Times New Roman" w:hAnsi="Times New Roman"/>
          <w:color w:val="000000"/>
          <w:sz w:val="22"/>
        </w:rPr>
        <w:t>;</w:t>
      </w:r>
    </w:p>
    <w:p w14:paraId="3D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14:paraId="3E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14:paraId="3F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40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продолжение активного участия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в федеральных и региональных программах, привлечение финансовых средств для развития территории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, обеспечение </w:t>
      </w:r>
      <w:r>
        <w:rPr>
          <w:rFonts w:ascii="Times New Roman" w:hAnsi="Times New Roman"/>
          <w:color w:val="000000"/>
          <w:sz w:val="22"/>
        </w:rPr>
        <w:t>софинансирования</w:t>
      </w:r>
      <w:r>
        <w:rPr>
          <w:rFonts w:ascii="Times New Roman" w:hAnsi="Times New Roman"/>
          <w:color w:val="000000"/>
          <w:sz w:val="22"/>
        </w:rPr>
        <w:t xml:space="preserve"> расходов из бюджетов других уровней;</w:t>
      </w:r>
    </w:p>
    <w:p w14:paraId="41000000">
      <w:pPr>
        <w:numPr>
          <w:ilvl w:val="0"/>
          <w:numId w:val="1"/>
        </w:num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14:paraId="42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4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3. Основные направления налоговой политики</w:t>
      </w:r>
    </w:p>
    <w:p w14:paraId="4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на 2022-2024 годы в области формирования и исполнения</w:t>
      </w:r>
    </w:p>
    <w:p w14:paraId="4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 xml:space="preserve">доходов бюджета </w:t>
      </w:r>
      <w:r>
        <w:rPr>
          <w:rFonts w:ascii="Times New Roman" w:hAnsi="Times New Roman"/>
          <w:b w:val="1"/>
          <w:color w:val="000000"/>
          <w:sz w:val="22"/>
        </w:rPr>
        <w:t>муниципального округа</w:t>
      </w:r>
    </w:p>
    <w:p w14:paraId="46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4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 Налоговая политика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определена с учетом основных направлений налоговой политики Российской Федерации на 2022 год и плановый период 2023 и 2024 годов, а также изменений федерального законодательства и законодательства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области.</w:t>
      </w:r>
    </w:p>
    <w:p w14:paraId="4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 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бюджет </w:t>
      </w:r>
      <w:r>
        <w:rPr>
          <w:rFonts w:ascii="Times New Roman" w:hAnsi="Times New Roman"/>
          <w:color w:val="000000"/>
          <w:sz w:val="22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4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       Основными направлениями решения данной задачи являются:</w:t>
      </w:r>
    </w:p>
    <w:p w14:paraId="4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</w:t>
      </w:r>
      <w:r>
        <w:rPr>
          <w:rFonts w:ascii="Times New Roman" w:hAnsi="Times New Roman"/>
          <w:color w:val="000000"/>
          <w:sz w:val="22"/>
        </w:rPr>
        <w:t>в  бюджет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4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статьи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sz w:val="22"/>
        </w:rPr>
        <w:t>;</w:t>
      </w:r>
    </w:p>
    <w:p w14:paraId="4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14:paraId="4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реализация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регистрации граждан в качестве «самозанятых» и вовлечения их в экономику</w:t>
      </w:r>
      <w:r>
        <w:rPr>
          <w:rFonts w:ascii="Times New Roman" w:hAnsi="Times New Roman"/>
          <w:sz w:val="22"/>
        </w:rPr>
        <w:t>;</w:t>
      </w:r>
    </w:p>
    <w:p w14:paraId="4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;</w:t>
      </w:r>
    </w:p>
    <w:p w14:paraId="4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обеспечение публичности и прозрачности процесса принятия муниципальных правовых актов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в области налогообложения;</w:t>
      </w:r>
    </w:p>
    <w:p w14:paraId="5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>
        <w:rPr>
          <w:rFonts w:ascii="Times New Roman" w:hAnsi="Times New Roman"/>
          <w:color w:val="000000"/>
          <w:sz w:val="22"/>
        </w:rPr>
        <w:t>муниципального округа.</w:t>
      </w:r>
    </w:p>
    <w:p w14:paraId="5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 Особое внимание </w:t>
      </w:r>
      <w:r>
        <w:rPr>
          <w:rFonts w:ascii="Times New Roman" w:hAnsi="Times New Roman"/>
          <w:color w:val="000000"/>
          <w:sz w:val="22"/>
        </w:rPr>
        <w:t>необходимо</w:t>
      </w:r>
      <w:r>
        <w:rPr>
          <w:rFonts w:ascii="Times New Roman" w:hAnsi="Times New Roman"/>
          <w:color w:val="000000"/>
          <w:sz w:val="22"/>
        </w:rPr>
        <w:t xml:space="preserve"> удел</w:t>
      </w:r>
      <w:r>
        <w:rPr>
          <w:rFonts w:ascii="Times New Roman" w:hAnsi="Times New Roman"/>
          <w:color w:val="000000"/>
          <w:sz w:val="22"/>
        </w:rPr>
        <w:t>ить</w:t>
      </w:r>
      <w:r>
        <w:rPr>
          <w:rFonts w:ascii="Times New Roman" w:hAnsi="Times New Roman"/>
          <w:color w:val="000000"/>
          <w:sz w:val="22"/>
        </w:rPr>
        <w:t xml:space="preserve"> сокращению задолженности по налоговым платежам</w:t>
      </w:r>
      <w:r>
        <w:rPr>
          <w:rFonts w:ascii="Times New Roman" w:hAnsi="Times New Roman"/>
          <w:color w:val="000000"/>
          <w:sz w:val="22"/>
        </w:rPr>
        <w:t>,</w:t>
      </w:r>
      <w:r>
        <w:rPr>
          <w:rFonts w:ascii="Times New Roman" w:hAnsi="Times New Roman"/>
          <w:color w:val="000000"/>
          <w:sz w:val="22"/>
        </w:rPr>
        <w:t xml:space="preserve"> продолж</w:t>
      </w:r>
      <w:r>
        <w:rPr>
          <w:rFonts w:ascii="Times New Roman" w:hAnsi="Times New Roman"/>
          <w:color w:val="000000"/>
          <w:sz w:val="22"/>
        </w:rPr>
        <w:t>ить</w:t>
      </w:r>
      <w:r>
        <w:rPr>
          <w:rFonts w:ascii="Times New Roman" w:hAnsi="Times New Roman"/>
          <w:color w:val="000000"/>
          <w:sz w:val="22"/>
        </w:rPr>
        <w:t xml:space="preserve">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</w:t>
      </w:r>
      <w:r>
        <w:rPr>
          <w:rFonts w:ascii="Times New Roman" w:hAnsi="Times New Roman"/>
          <w:color w:val="000000"/>
          <w:sz w:val="22"/>
        </w:rPr>
        <w:t>провести</w:t>
      </w:r>
      <w:r>
        <w:rPr>
          <w:rFonts w:ascii="Times New Roman" w:hAnsi="Times New Roman"/>
          <w:color w:val="000000"/>
          <w:sz w:val="22"/>
        </w:rPr>
        <w:t xml:space="preserve"> широк</w:t>
      </w:r>
      <w:r>
        <w:rPr>
          <w:rFonts w:ascii="Times New Roman" w:hAnsi="Times New Roman"/>
          <w:color w:val="000000"/>
          <w:sz w:val="22"/>
        </w:rPr>
        <w:t>ую</w:t>
      </w:r>
      <w:r>
        <w:rPr>
          <w:rFonts w:ascii="Times New Roman" w:hAnsi="Times New Roman"/>
          <w:color w:val="000000"/>
          <w:sz w:val="22"/>
        </w:rPr>
        <w:t xml:space="preserve"> информационн</w:t>
      </w:r>
      <w:r>
        <w:rPr>
          <w:rFonts w:ascii="Times New Roman" w:hAnsi="Times New Roman"/>
          <w:color w:val="000000"/>
          <w:sz w:val="22"/>
        </w:rPr>
        <w:t>ую</w:t>
      </w:r>
      <w:r>
        <w:rPr>
          <w:rFonts w:ascii="Times New Roman" w:hAnsi="Times New Roman"/>
          <w:color w:val="000000"/>
          <w:sz w:val="22"/>
        </w:rPr>
        <w:t xml:space="preserve"> кампани</w:t>
      </w:r>
      <w:r>
        <w:rPr>
          <w:rFonts w:ascii="Times New Roman" w:hAnsi="Times New Roman"/>
          <w:color w:val="000000"/>
          <w:sz w:val="22"/>
        </w:rPr>
        <w:t>ю</w:t>
      </w:r>
      <w:r>
        <w:rPr>
          <w:rFonts w:ascii="Times New Roman" w:hAnsi="Times New Roman"/>
          <w:color w:val="000000"/>
          <w:sz w:val="22"/>
        </w:rPr>
        <w:t xml:space="preserve">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работодателей с сотрудниками организаций, имеющими налоговые обязательства по имущественным налогам, в рамках которого продолжатся мероприятия по предотвращению образования недоимки. В целях оптимизации процесса исполнения налоговых обязательств физическими лицами на территории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А</w:t>
      </w:r>
      <w:r>
        <w:rPr>
          <w:rFonts w:ascii="Times New Roman" w:hAnsi="Times New Roman"/>
          <w:color w:val="000000"/>
          <w:sz w:val="22"/>
        </w:rPr>
        <w:t>дминистрацией</w:t>
      </w:r>
      <w:r>
        <w:rPr>
          <w:rFonts w:ascii="Times New Roman" w:hAnsi="Times New Roman"/>
          <w:color w:val="000000"/>
          <w:sz w:val="22"/>
        </w:rPr>
        <w:t xml:space="preserve"> муниципального образования совместно с УФНС России по </w:t>
      </w:r>
      <w:r>
        <w:rPr>
          <w:rFonts w:ascii="Times New Roman" w:hAnsi="Times New Roman"/>
          <w:color w:val="000000"/>
          <w:sz w:val="22"/>
        </w:rPr>
        <w:t>Тверской</w:t>
      </w:r>
      <w:r>
        <w:rPr>
          <w:rFonts w:ascii="Times New Roman" w:hAnsi="Times New Roman"/>
          <w:color w:val="000000"/>
          <w:sz w:val="22"/>
        </w:rPr>
        <w:t xml:space="preserve"> области </w:t>
      </w:r>
      <w:r>
        <w:rPr>
          <w:rFonts w:ascii="Times New Roman" w:hAnsi="Times New Roman"/>
          <w:color w:val="000000"/>
          <w:sz w:val="22"/>
        </w:rPr>
        <w:t xml:space="preserve">планируется дальнейшая </w:t>
      </w:r>
      <w:r>
        <w:rPr>
          <w:rFonts w:ascii="Times New Roman" w:hAnsi="Times New Roman"/>
          <w:color w:val="000000"/>
          <w:sz w:val="22"/>
        </w:rPr>
        <w:t xml:space="preserve">работа по проведению мероприятий по регистрации личных кабинетов работников бюджетной </w:t>
      </w:r>
      <w:r>
        <w:rPr>
          <w:rFonts w:ascii="Times New Roman" w:hAnsi="Times New Roman"/>
          <w:color w:val="000000"/>
          <w:sz w:val="22"/>
        </w:rPr>
        <w:t>сферы на порталах gosuslugi.ru, сайте www.nalog.ru в информационно - телекоммуникационной сети «Интернет». Популяризация указанных сервисов влечет за собой сокращение транзакционных издержек и упрощение процедуры уплаты налогов.</w:t>
      </w:r>
    </w:p>
    <w:p w14:paraId="5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  Для обеспечения экономической стабильности и минимизации бюджетных рисков прогнозирование доходов бюджета </w:t>
      </w:r>
      <w:r>
        <w:rPr>
          <w:rFonts w:ascii="Times New Roman" w:hAnsi="Times New Roman"/>
          <w:color w:val="000000"/>
          <w:sz w:val="22"/>
        </w:rPr>
        <w:t xml:space="preserve">муниципального округа </w:t>
      </w:r>
      <w:r>
        <w:rPr>
          <w:rFonts w:ascii="Times New Roman" w:hAnsi="Times New Roman"/>
          <w:color w:val="000000"/>
          <w:sz w:val="22"/>
        </w:rPr>
        <w:t xml:space="preserve">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</w:t>
      </w:r>
      <w:r>
        <w:rPr>
          <w:rFonts w:ascii="Times New Roman" w:hAnsi="Times New Roman"/>
          <w:color w:val="000000"/>
          <w:sz w:val="22"/>
        </w:rPr>
        <w:t xml:space="preserve"> Тверской</w:t>
      </w:r>
      <w:r>
        <w:rPr>
          <w:rFonts w:ascii="Times New Roman" w:hAnsi="Times New Roman"/>
          <w:color w:val="000000"/>
          <w:sz w:val="22"/>
        </w:rPr>
        <w:t xml:space="preserve"> области на 2022 год и на период до 2024 года и расчетов главных администраторов доходов.</w:t>
      </w:r>
    </w:p>
    <w:p w14:paraId="53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         Налоговый </w:t>
      </w:r>
      <w:r>
        <w:rPr>
          <w:rFonts w:ascii="Times New Roman" w:hAnsi="Times New Roman"/>
          <w:color w:val="000000"/>
          <w:sz w:val="22"/>
        </w:rPr>
        <w:t>потенциал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Сандовского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Тверской </w:t>
      </w:r>
      <w:r>
        <w:rPr>
          <w:rFonts w:ascii="Times New Roman" w:hAnsi="Times New Roman"/>
          <w:color w:val="000000"/>
          <w:sz w:val="22"/>
        </w:rPr>
        <w:t xml:space="preserve"> области </w:t>
      </w:r>
      <w:r>
        <w:rPr>
          <w:rFonts w:ascii="Times New Roman" w:hAnsi="Times New Roman"/>
          <w:color w:val="000000"/>
          <w:sz w:val="22"/>
        </w:rPr>
        <w:t>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14:paraId="54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55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4. Основные направления бюджетной политики в области</w:t>
      </w:r>
    </w:p>
    <w:p w14:paraId="56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формирования и исполнения расходов местного бюджета</w:t>
      </w:r>
    </w:p>
    <w:p w14:paraId="57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5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Формирование расходов бюджета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</w:t>
      </w:r>
      <w:r>
        <w:rPr>
          <w:rFonts w:ascii="Times New Roman" w:hAnsi="Times New Roman"/>
          <w:color w:val="000000"/>
          <w:sz w:val="22"/>
        </w:rPr>
        <w:t xml:space="preserve"> - </w:t>
      </w:r>
      <w:r>
        <w:rPr>
          <w:rFonts w:ascii="Times New Roman" w:hAnsi="Times New Roman"/>
          <w:color w:val="000000"/>
          <w:sz w:val="22"/>
        </w:rPr>
        <w:t xml:space="preserve">на основе реестра расходных обязательств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 xml:space="preserve">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14:paraId="5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Приоритетными направлениями расходов при формировании и исполнении бюджета на 2022 год и плановый период определены расходы, обеспечивающие социальную стабильность в </w:t>
      </w:r>
      <w:r>
        <w:rPr>
          <w:rFonts w:ascii="Times New Roman" w:hAnsi="Times New Roman"/>
          <w:color w:val="000000"/>
          <w:sz w:val="22"/>
        </w:rPr>
        <w:t>муниципальном округе</w:t>
      </w:r>
      <w:r>
        <w:rPr>
          <w:rFonts w:ascii="Times New Roman" w:hAnsi="Times New Roman"/>
          <w:color w:val="000000"/>
          <w:sz w:val="22"/>
        </w:rPr>
        <w:t>:</w:t>
      </w:r>
    </w:p>
    <w:p w14:paraId="5A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 расходы на оплату труда и начисления на нее;</w:t>
      </w:r>
    </w:p>
    <w:p w14:paraId="5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- расходы на оплату коммунальных услуг;</w:t>
      </w:r>
    </w:p>
    <w:p w14:paraId="5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развитие системы водоснабжения;</w:t>
      </w:r>
    </w:p>
    <w:p w14:paraId="5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развитие сети автомобильных дорог и сооружений на них;</w:t>
      </w:r>
    </w:p>
    <w:p w14:paraId="5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- повышение пожарной безопасности;</w:t>
      </w:r>
    </w:p>
    <w:p w14:paraId="5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- благоустройство территории </w:t>
      </w:r>
      <w:r>
        <w:rPr>
          <w:rFonts w:ascii="Times New Roman" w:hAnsi="Times New Roman"/>
          <w:color w:val="000000"/>
          <w:sz w:val="22"/>
        </w:rPr>
        <w:t>муниципального округа</w:t>
      </w:r>
      <w:r>
        <w:rPr>
          <w:rFonts w:ascii="Times New Roman" w:hAnsi="Times New Roman"/>
          <w:color w:val="000000"/>
          <w:sz w:val="22"/>
        </w:rPr>
        <w:t>.</w:t>
      </w:r>
    </w:p>
    <w:p w14:paraId="60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14:paraId="61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-</w:t>
      </w:r>
      <w:r>
        <w:rPr>
          <w:rFonts w:ascii="Times New Roman" w:hAnsi="Times New Roman"/>
          <w:sz w:val="22"/>
        </w:rPr>
        <w:t>недопущени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образования просроченной кредиторской задолженности по принятым обязательствам, в том числе по заработной плате и социальным выплатам</w:t>
      </w:r>
      <w:r>
        <w:rPr>
          <w:rFonts w:ascii="Times New Roman" w:hAnsi="Times New Roman"/>
          <w:color w:val="000000"/>
          <w:sz w:val="22"/>
        </w:rPr>
        <w:t>;</w:t>
      </w:r>
    </w:p>
    <w:p w14:paraId="62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осуществлени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color w:val="000000"/>
          <w:sz w:val="22"/>
        </w:rPr>
        <w:t>;</w:t>
      </w:r>
    </w:p>
    <w:p w14:paraId="63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повышени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качества финансового менеджмента главных администраторов бюджетных средств;</w:t>
      </w:r>
    </w:p>
    <w:p w14:paraId="6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-стимулирование инвестиционной привлекательности, развитие </w:t>
      </w:r>
      <w:r>
        <w:rPr>
          <w:rFonts w:ascii="Times New Roman" w:hAnsi="Times New Roman"/>
          <w:sz w:val="22"/>
        </w:rPr>
        <w:t>муниципально</w:t>
      </w:r>
      <w:r>
        <w:rPr>
          <w:rFonts w:ascii="Times New Roman" w:hAnsi="Times New Roman"/>
          <w:sz w:val="22"/>
        </w:rPr>
        <w:t xml:space="preserve">-частного </w:t>
      </w:r>
      <w:r>
        <w:rPr>
          <w:rFonts w:ascii="Times New Roman" w:hAnsi="Times New Roman"/>
          <w:sz w:val="22"/>
        </w:rPr>
        <w:t>партнерства  для</w:t>
      </w:r>
      <w:r>
        <w:rPr>
          <w:rFonts w:ascii="Times New Roman" w:hAnsi="Times New Roman"/>
          <w:sz w:val="22"/>
        </w:rPr>
        <w:t xml:space="preserve"> решения задач бюджетной сферы</w:t>
      </w:r>
      <w:r>
        <w:rPr>
          <w:rFonts w:ascii="Times New Roman" w:hAnsi="Times New Roman"/>
          <w:sz w:val="22"/>
        </w:rPr>
        <w:t>.</w:t>
      </w:r>
    </w:p>
    <w:p w14:paraId="6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Основными направлениями бюджетной политики в сфере управления расходами должны стать:</w:t>
      </w:r>
    </w:p>
    <w:p w14:paraId="6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  Сохранение преемственности приоритетов, определенных в предыдущие годы;</w:t>
      </w:r>
    </w:p>
    <w:p w14:paraId="6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14:paraId="6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14:paraId="69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 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6A000000">
      <w:pPr>
        <w:spacing w:after="0" w:before="0" w:line="240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-</w:t>
      </w:r>
      <w:r>
        <w:rPr>
          <w:rFonts w:ascii="Times New Roman" w:hAnsi="Times New Roman"/>
          <w:sz w:val="22"/>
        </w:rPr>
        <w:t>формирование мероприятий и показателей муниципальных программ, позволяющих участвовать в федеральных проектах, входящих в состав национальных проектов, государственных программах с целью привлечения бюджетных средств других уровней на решение вопросов местного значения;</w:t>
      </w:r>
    </w:p>
    <w:p w14:paraId="6B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выявление резервов оптимизации и повышения эффективности бюджетных расходов, в том числе путем проведения оценки целесообразности и актуальности мероприятий муниципальных программ и их финансового обеспечения</w:t>
      </w:r>
    </w:p>
    <w:p w14:paraId="6C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Формирование реальных сроков реализации и объемов финансового обеспечения заявленных программ;</w:t>
      </w:r>
    </w:p>
    <w:p w14:paraId="6D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- Осуществление бюджетных инвестиций с учетом наличия положительного социального и бюджетного эффекта.</w:t>
      </w:r>
    </w:p>
    <w:p w14:paraId="6E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6F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70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5. Основные направления бюджетной и налоговой политики</w:t>
      </w:r>
    </w:p>
    <w:p w14:paraId="71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на 2022 год и на плановый период 2023 и 2024 годов</w:t>
      </w:r>
    </w:p>
    <w:p w14:paraId="72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 области управления муниципальным долгом</w:t>
      </w:r>
    </w:p>
    <w:p w14:paraId="7300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74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2D2D2D"/>
          <w:spacing w:val="2"/>
          <w:sz w:val="22"/>
          <w:highlight w:val="white"/>
        </w:rPr>
        <w:t>Реализация долговой политики в 2022 - 2024 годах будет осуществляться в условиях стабильного уровня инфляции.</w:t>
      </w:r>
    </w:p>
    <w:p w14:paraId="75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Основными направлениями   долговой политики в 2022-2024 годах    являются:</w:t>
      </w:r>
    </w:p>
    <w:p w14:paraId="76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 xml:space="preserve">Поддержание величины   муниципального долга </w:t>
      </w:r>
      <w:r>
        <w:rPr>
          <w:rFonts w:ascii="Times New Roman" w:hAnsi="Times New Roman"/>
          <w:color w:val="000000"/>
          <w:sz w:val="22"/>
        </w:rPr>
        <w:t xml:space="preserve">Сандовского </w:t>
      </w:r>
      <w:r>
        <w:rPr>
          <w:rFonts w:ascii="Times New Roman" w:hAnsi="Times New Roman"/>
          <w:color w:val="000000"/>
          <w:sz w:val="22"/>
        </w:rPr>
        <w:t xml:space="preserve">муниципального </w:t>
      </w:r>
      <w:r>
        <w:rPr>
          <w:rFonts w:ascii="Times New Roman" w:hAnsi="Times New Roman"/>
          <w:color w:val="000000"/>
          <w:sz w:val="22"/>
        </w:rPr>
        <w:t xml:space="preserve">округа </w:t>
      </w:r>
      <w:r>
        <w:rPr>
          <w:rFonts w:ascii="Times New Roman" w:hAnsi="Times New Roman"/>
          <w:color w:val="000000"/>
          <w:sz w:val="22"/>
        </w:rPr>
        <w:t xml:space="preserve">Тверской </w:t>
      </w:r>
      <w:r>
        <w:rPr>
          <w:rFonts w:ascii="Times New Roman" w:hAnsi="Times New Roman"/>
          <w:color w:val="000000"/>
          <w:sz w:val="22"/>
        </w:rPr>
        <w:t xml:space="preserve"> области</w:t>
      </w:r>
      <w:r>
        <w:rPr>
          <w:rFonts w:ascii="Times New Roman" w:hAnsi="Times New Roman"/>
          <w:color w:val="00000A"/>
          <w:sz w:val="22"/>
        </w:rPr>
        <w:t xml:space="preserve"> на экономически безопасном уровне;</w:t>
      </w:r>
    </w:p>
    <w:p w14:paraId="77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Минимизация стоимости заимствований;</w:t>
      </w:r>
    </w:p>
    <w:p w14:paraId="7800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  <w:sz w:val="22"/>
        </w:rPr>
        <w:t>Осуществление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обслуживание.</w:t>
      </w:r>
    </w:p>
    <w:p w14:paraId="79000000">
      <w:pPr>
        <w:spacing w:after="0" w:before="0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7A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B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C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D000000">
      <w:pPr>
        <w:spacing w:after="0" w:before="0"/>
        <w:ind w:firstLine="0" w:left="0"/>
        <w:rPr>
          <w:rFonts w:ascii="Times New Roman" w:hAnsi="Times New Roman"/>
          <w:sz w:val="24"/>
        </w:rPr>
      </w:pPr>
    </w:p>
    <w:p w14:paraId="7E000000">
      <w:pPr>
        <w:spacing w:after="0" w:before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7F000000">
      <w:pPr>
        <w:spacing w:after="0" w:before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муниципального округа                                                   </w:t>
      </w:r>
      <w:r>
        <w:rPr>
          <w:rFonts w:ascii="Times New Roman" w:hAnsi="Times New Roman"/>
          <w:sz w:val="24"/>
        </w:rPr>
        <w:t>Г.И.Горохова</w:t>
      </w: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Subtitle"/>
    <w:next w:val="Style_2"/>
    <w:link w:val="Style_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_ch" w:type="character">
    <w:name w:val="Subtitle"/>
    <w:link w:val="Style_1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2021-10-13T13:58:30Z</dcterms:modified>
</cp:coreProperties>
</file>