
<file path=[Content_Types].xml><?xml version="1.0" encoding="utf-8"?>
<Types xmlns="http://schemas.openxmlformats.org/package/2006/content-types">
  <Default ContentType="image/x-emf" Extension="emf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2000000">
      <w:pPr>
        <w:spacing w:after="0"/>
        <w:ind/>
        <w:jc w:val="center"/>
        <w:rPr>
          <w:rFonts w:ascii="Times New Roman" w:hAnsi="Times New Roman"/>
          <w:b w:val="1"/>
          <w:sz w:val="36"/>
        </w:rPr>
      </w:pPr>
      <w:r>
        <w:rPr>
          <w:b w:val="0"/>
          <w:sz w:val="28"/>
        </w:rPr>
        <w:drawing>
          <wp:anchor allowOverlap="true" behindDoc="false" distB="139065" distL="0" distR="0" distT="0" layoutInCell="true" locked="false" relativeHeight="251658240" simplePos="false">
            <wp:simplePos x="0" y="0"/>
            <wp:positionH relativeFrom="column">
              <wp:posOffset>2879090</wp:posOffset>
            </wp:positionH>
            <wp:positionV relativeFrom="page">
              <wp:posOffset>438148</wp:posOffset>
            </wp:positionV>
            <wp:extent cx="559435" cy="555625"/>
            <wp:wrapSquare distB="139065" distL="0" distR="0" distT="0" wrapText="bothSides"/>
            <wp:docPr id="2" name="Picture 2"/>
            <a:graphic>
              <a:graphicData uri="http://schemas.openxmlformats.org/drawingml/2006/picture">
                <pic:pic>
                  <pic:nvPicPr>
                    <pic:cNvPr id="1" name="Picture 1"/>
                    <pic:cNvPicPr preferRelativeResize="true"/>
                  </pic:nvPicPr>
                  <pic:blipFill>
                    <a:blip r:embed="rId2"/>
                    <a:srcRect b="-159" l="-5138" r="-5138" t="-159"/>
                    <a:stretch/>
                  </pic:blipFill>
                  <pic:spPr>
                    <a:xfrm flipH="false" flipV="false" rot="0">
                      <a:ext cx="559435" cy="555625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3000000">
      <w:pPr>
        <w:spacing w:after="0"/>
        <w:ind/>
        <w:jc w:val="center"/>
        <w:rPr>
          <w:rFonts w:ascii="Times New Roman" w:hAnsi="Times New Roman"/>
          <w:b w:val="1"/>
          <w:sz w:val="36"/>
        </w:rPr>
      </w:pPr>
    </w:p>
    <w:p w14:paraId="04000000">
      <w:pPr>
        <w:spacing w:after="0"/>
        <w:ind/>
        <w:jc w:val="center"/>
        <w:rPr>
          <w:rFonts w:ascii="Times New Roman" w:hAnsi="Times New Roman"/>
          <w:b w:val="1"/>
          <w:sz w:val="36"/>
        </w:rPr>
      </w:pPr>
      <w:r>
        <w:rPr>
          <w:rFonts w:ascii="Times New Roman" w:hAnsi="Times New Roman"/>
          <w:b w:val="1"/>
          <w:sz w:val="36"/>
        </w:rPr>
        <w:t>АДМИНИСТРАЦИЯ</w:t>
      </w:r>
    </w:p>
    <w:p w14:paraId="05000000">
      <w:pPr>
        <w:spacing w:after="0"/>
        <w:ind/>
        <w:jc w:val="center"/>
        <w:rPr>
          <w:rFonts w:ascii="Times New Roman" w:hAnsi="Times New Roman"/>
          <w:b w:val="1"/>
          <w:sz w:val="36"/>
        </w:rPr>
      </w:pPr>
      <w:r>
        <w:rPr>
          <w:rFonts w:ascii="Times New Roman" w:hAnsi="Times New Roman"/>
          <w:b w:val="1"/>
          <w:sz w:val="36"/>
        </w:rPr>
        <w:t>САНДОВСКОГО МУНИЦИПАЛЬНОГО ОКРУГА</w:t>
      </w:r>
    </w:p>
    <w:p w14:paraId="06000000">
      <w:pPr>
        <w:spacing w:after="0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Тверская область</w:t>
      </w:r>
    </w:p>
    <w:p w14:paraId="07000000">
      <w:pPr>
        <w:spacing w:after="0"/>
        <w:ind/>
        <w:jc w:val="center"/>
        <w:rPr>
          <w:rFonts w:ascii="Times New Roman" w:hAnsi="Times New Roman"/>
          <w:b w:val="1"/>
          <w:sz w:val="36"/>
        </w:rPr>
      </w:pPr>
      <w:r>
        <w:rPr>
          <w:rFonts w:ascii="Times New Roman" w:hAnsi="Times New Roman"/>
          <w:b w:val="1"/>
          <w:sz w:val="36"/>
        </w:rPr>
        <w:t>ПОСТАНОВЛЕНИЕ</w:t>
      </w:r>
    </w:p>
    <w:p w14:paraId="08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02.07.2021                                             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.С</w:t>
      </w:r>
      <w:r>
        <w:rPr>
          <w:rFonts w:ascii="Times New Roman" w:hAnsi="Times New Roman"/>
          <w:sz w:val="28"/>
        </w:rPr>
        <w:t>андово</w:t>
      </w:r>
      <w:r>
        <w:rPr>
          <w:rFonts w:ascii="Times New Roman" w:hAnsi="Times New Roman"/>
          <w:sz w:val="28"/>
        </w:rPr>
        <w:t xml:space="preserve">                                                № 219      </w:t>
      </w:r>
    </w:p>
    <w:p w14:paraId="09000000">
      <w:pPr>
        <w:spacing w:after="0"/>
        <w:ind/>
        <w:rPr>
          <w:rFonts w:ascii="Times New Roman" w:hAnsi="Times New Roman"/>
          <w:b w:val="0"/>
          <w:sz w:val="26"/>
        </w:rPr>
      </w:pPr>
    </w:p>
    <w:p w14:paraId="0A000000">
      <w:pPr>
        <w:spacing w:after="0"/>
        <w:ind/>
        <w:rPr>
          <w:rFonts w:ascii="Times New Roman" w:hAnsi="Times New Roman"/>
          <w:b w:val="0"/>
          <w:sz w:val="26"/>
        </w:rPr>
      </w:pPr>
      <w:r>
        <w:rPr>
          <w:rFonts w:ascii="Times New Roman" w:hAnsi="Times New Roman"/>
          <w:b w:val="0"/>
          <w:sz w:val="26"/>
        </w:rPr>
        <w:t>Об утверждении Порядка</w:t>
      </w:r>
      <w:r>
        <w:rPr>
          <w:rFonts w:ascii="Times New Roman" w:hAnsi="Times New Roman"/>
          <w:b w:val="0"/>
          <w:sz w:val="26"/>
        </w:rPr>
        <w:t xml:space="preserve"> </w:t>
      </w:r>
      <w:r>
        <w:rPr>
          <w:rFonts w:ascii="Times New Roman" w:hAnsi="Times New Roman"/>
          <w:b w:val="0"/>
          <w:sz w:val="26"/>
        </w:rPr>
        <w:t>к</w:t>
      </w:r>
      <w:r>
        <w:rPr>
          <w:rFonts w:ascii="Times New Roman" w:hAnsi="Times New Roman"/>
          <w:b w:val="0"/>
          <w:sz w:val="26"/>
        </w:rPr>
        <w:t>омпен</w:t>
      </w:r>
      <w:r>
        <w:rPr>
          <w:rFonts w:ascii="Times New Roman" w:hAnsi="Times New Roman"/>
          <w:b w:val="0"/>
          <w:sz w:val="26"/>
        </w:rPr>
        <w:t xml:space="preserve">сации </w:t>
      </w:r>
    </w:p>
    <w:p w14:paraId="0B000000">
      <w:pPr>
        <w:spacing w:after="0"/>
        <w:ind/>
        <w:rPr>
          <w:rFonts w:ascii="Times New Roman" w:hAnsi="Times New Roman"/>
          <w:b w:val="0"/>
          <w:sz w:val="26"/>
        </w:rPr>
      </w:pPr>
      <w:r>
        <w:rPr>
          <w:rFonts w:ascii="Times New Roman" w:hAnsi="Times New Roman"/>
          <w:b w:val="0"/>
          <w:sz w:val="26"/>
        </w:rPr>
        <w:t>расходов на оплату жилых</w:t>
      </w:r>
      <w:r>
        <w:rPr>
          <w:rFonts w:ascii="Times New Roman" w:hAnsi="Times New Roman"/>
          <w:b w:val="0"/>
          <w:sz w:val="26"/>
        </w:rPr>
        <w:t xml:space="preserve"> поме</w:t>
      </w:r>
      <w:r>
        <w:rPr>
          <w:rFonts w:ascii="Times New Roman" w:hAnsi="Times New Roman"/>
          <w:b w:val="0"/>
          <w:sz w:val="26"/>
        </w:rPr>
        <w:t xml:space="preserve">щений, </w:t>
      </w:r>
    </w:p>
    <w:p w14:paraId="0C000000">
      <w:pPr>
        <w:spacing w:after="0"/>
        <w:ind/>
        <w:rPr>
          <w:rFonts w:ascii="Times New Roman" w:hAnsi="Times New Roman"/>
          <w:b w:val="0"/>
          <w:sz w:val="26"/>
        </w:rPr>
      </w:pPr>
      <w:r>
        <w:rPr>
          <w:rFonts w:ascii="Times New Roman" w:hAnsi="Times New Roman"/>
          <w:b w:val="0"/>
          <w:sz w:val="26"/>
        </w:rPr>
        <w:t xml:space="preserve">отопления и освещения </w:t>
      </w:r>
      <w:r>
        <w:rPr>
          <w:rFonts w:ascii="Times New Roman" w:hAnsi="Times New Roman"/>
          <w:b w:val="0"/>
          <w:sz w:val="26"/>
        </w:rPr>
        <w:t xml:space="preserve"> педагогическим</w:t>
      </w:r>
    </w:p>
    <w:p w14:paraId="0D000000">
      <w:pPr>
        <w:spacing w:after="0"/>
        <w:ind/>
        <w:rPr>
          <w:rFonts w:ascii="Times New Roman" w:hAnsi="Times New Roman"/>
          <w:b w:val="0"/>
          <w:sz w:val="26"/>
        </w:rPr>
      </w:pPr>
      <w:r>
        <w:rPr>
          <w:rFonts w:ascii="Times New Roman" w:hAnsi="Times New Roman"/>
          <w:b w:val="0"/>
          <w:sz w:val="26"/>
        </w:rPr>
        <w:t xml:space="preserve"> работникам </w:t>
      </w:r>
      <w:r>
        <w:rPr>
          <w:rFonts w:ascii="Times New Roman" w:hAnsi="Times New Roman"/>
          <w:b w:val="0"/>
          <w:sz w:val="26"/>
        </w:rPr>
        <w:t>муниципальных</w:t>
      </w:r>
      <w:r>
        <w:rPr>
          <w:rFonts w:ascii="Times New Roman" w:hAnsi="Times New Roman"/>
          <w:b w:val="0"/>
          <w:sz w:val="26"/>
        </w:rPr>
        <w:t xml:space="preserve"> </w:t>
      </w:r>
      <w:r>
        <w:rPr>
          <w:rFonts w:ascii="Times New Roman" w:hAnsi="Times New Roman"/>
          <w:b w:val="0"/>
          <w:sz w:val="26"/>
        </w:rPr>
        <w:t>образовательных</w:t>
      </w:r>
    </w:p>
    <w:p w14:paraId="0E000000">
      <w:pPr>
        <w:spacing w:after="0"/>
        <w:ind/>
        <w:rPr>
          <w:rFonts w:ascii="Times New Roman" w:hAnsi="Times New Roman"/>
          <w:b w:val="0"/>
          <w:sz w:val="26"/>
        </w:rPr>
      </w:pPr>
      <w:r>
        <w:rPr>
          <w:rFonts w:ascii="Times New Roman" w:hAnsi="Times New Roman"/>
          <w:b w:val="0"/>
          <w:sz w:val="26"/>
        </w:rPr>
        <w:t xml:space="preserve"> организаций Сандовского </w:t>
      </w:r>
      <w:r>
        <w:rPr>
          <w:rFonts w:ascii="Times New Roman" w:hAnsi="Times New Roman"/>
          <w:b w:val="0"/>
          <w:sz w:val="26"/>
        </w:rPr>
        <w:t>муниципального округа</w:t>
      </w:r>
    </w:p>
    <w:p w14:paraId="0F000000">
      <w:pPr>
        <w:spacing w:after="0"/>
        <w:ind/>
        <w:rPr>
          <w:rFonts w:ascii="Times New Roman" w:hAnsi="Times New Roman"/>
          <w:b w:val="0"/>
          <w:sz w:val="26"/>
        </w:rPr>
      </w:pPr>
      <w:r>
        <w:rPr>
          <w:rFonts w:ascii="Times New Roman" w:hAnsi="Times New Roman"/>
          <w:b w:val="0"/>
          <w:sz w:val="26"/>
        </w:rPr>
        <w:t xml:space="preserve"> Тверской области,</w:t>
      </w:r>
      <w:r>
        <w:rPr>
          <w:rFonts w:ascii="Times New Roman" w:hAnsi="Times New Roman"/>
          <w:b w:val="0"/>
          <w:sz w:val="26"/>
        </w:rPr>
        <w:t xml:space="preserve"> проживающим и работающим </w:t>
      </w:r>
    </w:p>
    <w:p w14:paraId="10000000">
      <w:pPr>
        <w:spacing w:after="0"/>
        <w:ind/>
        <w:rPr>
          <w:rFonts w:ascii="Times New Roman" w:hAnsi="Times New Roman"/>
          <w:b w:val="0"/>
          <w:sz w:val="26"/>
        </w:rPr>
      </w:pPr>
      <w:r>
        <w:rPr>
          <w:rFonts w:ascii="Times New Roman" w:hAnsi="Times New Roman"/>
          <w:b w:val="0"/>
          <w:sz w:val="26"/>
        </w:rPr>
        <w:t xml:space="preserve">в сельских </w:t>
      </w:r>
      <w:r>
        <w:rPr>
          <w:rFonts w:ascii="Times New Roman" w:hAnsi="Times New Roman"/>
          <w:b w:val="0"/>
          <w:sz w:val="26"/>
        </w:rPr>
        <w:t xml:space="preserve">населённых </w:t>
      </w:r>
      <w:r>
        <w:rPr>
          <w:rFonts w:ascii="Times New Roman" w:hAnsi="Times New Roman"/>
          <w:b w:val="0"/>
          <w:sz w:val="26"/>
        </w:rPr>
        <w:t>пунктах</w:t>
      </w:r>
      <w:r>
        <w:rPr>
          <w:rFonts w:ascii="Times New Roman" w:hAnsi="Times New Roman"/>
          <w:b w:val="0"/>
          <w:sz w:val="26"/>
        </w:rPr>
        <w:t xml:space="preserve">, рабочих посёлках </w:t>
      </w:r>
    </w:p>
    <w:p w14:paraId="11000000">
      <w:pPr>
        <w:spacing w:after="0"/>
        <w:ind/>
        <w:rPr>
          <w:rFonts w:ascii="Times New Roman" w:hAnsi="Times New Roman"/>
          <w:b w:val="0"/>
          <w:sz w:val="26"/>
        </w:rPr>
      </w:pPr>
      <w:r>
        <w:rPr>
          <w:rFonts w:ascii="Times New Roman" w:hAnsi="Times New Roman"/>
          <w:b w:val="0"/>
          <w:sz w:val="26"/>
        </w:rPr>
        <w:t>(</w:t>
      </w:r>
      <w:r>
        <w:rPr>
          <w:rFonts w:ascii="Times New Roman" w:hAnsi="Times New Roman"/>
          <w:b w:val="0"/>
          <w:sz w:val="26"/>
        </w:rPr>
        <w:t>посёлках</w:t>
      </w:r>
      <w:r>
        <w:rPr>
          <w:rFonts w:ascii="Times New Roman" w:hAnsi="Times New Roman"/>
          <w:b w:val="0"/>
          <w:sz w:val="26"/>
        </w:rPr>
        <w:t xml:space="preserve"> городского типа)</w:t>
      </w:r>
      <w:r>
        <w:rPr>
          <w:rFonts w:ascii="Times New Roman" w:hAnsi="Times New Roman"/>
          <w:b w:val="0"/>
          <w:sz w:val="26"/>
        </w:rPr>
        <w:t xml:space="preserve"> </w:t>
      </w:r>
    </w:p>
    <w:p w14:paraId="12000000">
      <w:pPr>
        <w:spacing w:after="0"/>
        <w:ind/>
        <w:jc w:val="both"/>
        <w:rPr>
          <w:rFonts w:ascii="Times New Roman" w:hAnsi="Times New Roman"/>
          <w:sz w:val="26"/>
        </w:rPr>
      </w:pPr>
    </w:p>
    <w:p w14:paraId="13000000">
      <w:pPr>
        <w:spacing w:after="0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b w:val="1"/>
          <w:sz w:val="26"/>
        </w:rPr>
        <w:t xml:space="preserve">    </w:t>
      </w:r>
      <w:r>
        <w:rPr>
          <w:rFonts w:ascii="Times New Roman" w:hAnsi="Times New Roman"/>
          <w:b w:val="1"/>
          <w:sz w:val="26"/>
        </w:rPr>
        <w:t xml:space="preserve">    </w:t>
      </w:r>
      <w:r>
        <w:rPr>
          <w:rFonts w:ascii="Times New Roman" w:hAnsi="Times New Roman"/>
          <w:sz w:val="26"/>
        </w:rPr>
        <w:t>В</w:t>
      </w:r>
      <w:r>
        <w:rPr>
          <w:rFonts w:ascii="Times New Roman" w:hAnsi="Times New Roman"/>
          <w:sz w:val="26"/>
        </w:rPr>
        <w:t xml:space="preserve"> соответствии с законом Тверской области от 23.12.2015 №132-ЗО «О наделении органов местного самоуправления Тверской области отдельными государственными полномочиями Тверской области по предоставлению компенсации расходов на оплату жилых помещений, отопления и освещения отдельным категориям педагогических работников, проживающим и работающим в сельских населённых пунктах, рабочих посёлках (посёлках городского типа)», с</w:t>
      </w:r>
      <w:r>
        <w:rPr>
          <w:rFonts w:ascii="Times New Roman" w:hAnsi="Times New Roman"/>
          <w:sz w:val="26"/>
        </w:rPr>
        <w:t xml:space="preserve"> законом Тверской области от 22.12.2011 №82-ЗО «О компенсации расходов на оплату</w:t>
      </w:r>
      <w:r>
        <w:rPr>
          <w:rFonts w:ascii="Times New Roman" w:hAnsi="Times New Roman"/>
          <w:sz w:val="26"/>
        </w:rPr>
        <w:t xml:space="preserve"> жилых помещений, отопления и освещения  педагогическим работникам, проживающим и работающим в сельских населённых пунктах, рабочих посёлках (посёлках городского типа)», руководствуясь Уставом МО «</w:t>
      </w:r>
      <w:r>
        <w:rPr>
          <w:rFonts w:ascii="Times New Roman" w:hAnsi="Times New Roman"/>
          <w:sz w:val="26"/>
        </w:rPr>
        <w:t>Сандовский</w:t>
      </w:r>
      <w:r>
        <w:rPr>
          <w:rFonts w:ascii="Times New Roman" w:hAnsi="Times New Roman"/>
          <w:sz w:val="26"/>
        </w:rPr>
        <w:t xml:space="preserve"> муниципальный округ» Тверской области Администрация Сандовского муниципального округа</w:t>
      </w:r>
    </w:p>
    <w:p w14:paraId="14000000">
      <w:pPr>
        <w:spacing w:after="0"/>
        <w:ind/>
        <w:jc w:val="both"/>
        <w:rPr>
          <w:rFonts w:ascii="Times New Roman" w:hAnsi="Times New Roman"/>
          <w:sz w:val="26"/>
        </w:rPr>
      </w:pPr>
    </w:p>
    <w:p w14:paraId="15000000">
      <w:pPr>
        <w:spacing w:after="0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ПОСТАНОВЛЯЕТ:</w:t>
      </w:r>
    </w:p>
    <w:p w14:paraId="16000000">
      <w:pPr>
        <w:spacing w:after="0"/>
        <w:ind/>
        <w:jc w:val="center"/>
        <w:rPr>
          <w:rFonts w:ascii="Times New Roman" w:hAnsi="Times New Roman"/>
          <w:sz w:val="26"/>
        </w:rPr>
      </w:pPr>
    </w:p>
    <w:p w14:paraId="17000000">
      <w:pPr>
        <w:spacing w:after="0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1.Утвердить Порядок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</w:t>
      </w:r>
      <w:r>
        <w:rPr>
          <w:rFonts w:ascii="Times New Roman" w:hAnsi="Times New Roman"/>
          <w:sz w:val="26"/>
        </w:rPr>
        <w:t>населённых пунктах, рабочих посёлках (посёлках городского типа)</w:t>
      </w:r>
      <w:r>
        <w:rPr>
          <w:rFonts w:ascii="Times New Roman" w:hAnsi="Times New Roman"/>
          <w:sz w:val="26"/>
        </w:rPr>
        <w:t xml:space="preserve"> (приложение №1).</w:t>
      </w:r>
    </w:p>
    <w:p w14:paraId="18000000">
      <w:pPr>
        <w:spacing w:after="0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2. Определить Отдел образования Администрации Сандовского муниципального округа Тверской области уполномоченным органом местного самоуправления (дале</w:t>
      </w:r>
      <w:r>
        <w:rPr>
          <w:rFonts w:ascii="Times New Roman" w:hAnsi="Times New Roman"/>
          <w:sz w:val="26"/>
        </w:rPr>
        <w:t>е-</w:t>
      </w:r>
      <w:r>
        <w:rPr>
          <w:rFonts w:ascii="Times New Roman" w:hAnsi="Times New Roman"/>
          <w:sz w:val="26"/>
        </w:rPr>
        <w:t xml:space="preserve"> орган местного самоуправления) по реализации отдельных государственных полномочий Тверской области по предоставлению компенсации расходов на оплату жилых помещений, отопления и освещения отдельным категориям педагогических работников, проживающим и работающим в сельских населённых пунктах, рабочих посёлках (посёлках городского типа)</w:t>
      </w:r>
      <w:r>
        <w:rPr>
          <w:rFonts w:ascii="Times New Roman" w:hAnsi="Times New Roman"/>
          <w:sz w:val="26"/>
        </w:rPr>
        <w:t>.</w:t>
      </w:r>
    </w:p>
    <w:p w14:paraId="19000000">
      <w:pPr>
        <w:spacing w:after="0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3. Настоящее постановление вступает в силу со дня его подписания и подлежит размещению на официальном сайте Администрации Сандовского муниципального округа Тверской области  в информационн</w:t>
      </w:r>
      <w:r>
        <w:rPr>
          <w:rFonts w:ascii="Times New Roman" w:hAnsi="Times New Roman"/>
          <w:sz w:val="26"/>
        </w:rPr>
        <w:t>о-</w:t>
      </w:r>
      <w:r>
        <w:rPr>
          <w:rFonts w:ascii="Times New Roman" w:hAnsi="Times New Roman"/>
          <w:sz w:val="26"/>
        </w:rPr>
        <w:t xml:space="preserve"> телекоммуникационной сети Интернет.</w:t>
      </w:r>
    </w:p>
    <w:p w14:paraId="1A000000">
      <w:pPr>
        <w:spacing w:after="0"/>
        <w:ind/>
        <w:jc w:val="both"/>
        <w:rPr>
          <w:rFonts w:ascii="Times New Roman" w:hAnsi="Times New Roman"/>
          <w:sz w:val="26"/>
        </w:rPr>
      </w:pPr>
    </w:p>
    <w:p w14:paraId="1B000000">
      <w:pPr>
        <w:spacing w:after="0"/>
        <w:ind/>
        <w:jc w:val="both"/>
        <w:rPr>
          <w:rFonts w:ascii="Times New Roman" w:hAnsi="Times New Roman"/>
          <w:sz w:val="26"/>
        </w:rPr>
      </w:pPr>
    </w:p>
    <w:p w14:paraId="1C000000">
      <w:pPr>
        <w:spacing w:after="0"/>
        <w:ind/>
        <w:jc w:val="both"/>
        <w:rPr>
          <w:rFonts w:ascii="Times New Roman" w:hAnsi="Times New Roman"/>
          <w:sz w:val="26"/>
        </w:rPr>
      </w:pPr>
    </w:p>
    <w:p w14:paraId="1D000000">
      <w:pPr>
        <w:spacing w:after="567"/>
        <w:ind/>
        <w:jc w:val="lef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Глава Сандовского </w:t>
      </w:r>
      <w:r>
        <w:rPr>
          <w:rFonts w:ascii="Times New Roman" w:hAnsi="Times New Roman"/>
          <w:sz w:val="26"/>
        </w:rPr>
        <w:t>муниципального округа                                       О.Н.Грязнов</w:t>
      </w:r>
    </w:p>
    <w:p w14:paraId="1E000000">
      <w:pPr>
        <w:spacing w:after="0"/>
        <w:ind/>
        <w:jc w:val="both"/>
        <w:rPr>
          <w:rFonts w:ascii="Times New Roman" w:hAnsi="Times New Roman"/>
          <w:sz w:val="26"/>
        </w:rPr>
      </w:pPr>
    </w:p>
    <w:p w14:paraId="1F000000">
      <w:pPr>
        <w:rPr>
          <w:rFonts w:ascii="Times New Roman" w:hAnsi="Times New Roman"/>
          <w:sz w:val="26"/>
        </w:rPr>
      </w:pPr>
    </w:p>
    <w:p w14:paraId="20000000">
      <w:pPr>
        <w:rPr>
          <w:rFonts w:ascii="Times New Roman" w:hAnsi="Times New Roman"/>
          <w:sz w:val="26"/>
        </w:rPr>
      </w:pPr>
    </w:p>
    <w:p w14:paraId="21000000">
      <w:pPr>
        <w:rPr>
          <w:rFonts w:ascii="Times New Roman" w:hAnsi="Times New Roman"/>
          <w:sz w:val="26"/>
        </w:rPr>
      </w:pPr>
    </w:p>
    <w:p w14:paraId="22000000">
      <w:pPr>
        <w:rPr>
          <w:rFonts w:ascii="Times New Roman" w:hAnsi="Times New Roman"/>
          <w:sz w:val="26"/>
        </w:rPr>
      </w:pPr>
    </w:p>
    <w:p w14:paraId="23000000">
      <w:pPr>
        <w:rPr>
          <w:rFonts w:ascii="Times New Roman" w:hAnsi="Times New Roman"/>
          <w:sz w:val="26"/>
        </w:rPr>
      </w:pPr>
    </w:p>
    <w:p w14:paraId="24000000">
      <w:pPr>
        <w:rPr>
          <w:rFonts w:ascii="Times New Roman" w:hAnsi="Times New Roman"/>
          <w:sz w:val="26"/>
        </w:rPr>
      </w:pPr>
    </w:p>
    <w:p w14:paraId="25000000">
      <w:pPr>
        <w:rPr>
          <w:rFonts w:ascii="Times New Roman" w:hAnsi="Times New Roman"/>
          <w:sz w:val="26"/>
        </w:rPr>
      </w:pPr>
    </w:p>
    <w:p w14:paraId="26000000">
      <w:pPr>
        <w:rPr>
          <w:rFonts w:ascii="Times New Roman" w:hAnsi="Times New Roman"/>
          <w:sz w:val="26"/>
        </w:rPr>
      </w:pPr>
    </w:p>
    <w:p w14:paraId="27000000">
      <w:pPr>
        <w:rPr>
          <w:rFonts w:ascii="Times New Roman" w:hAnsi="Times New Roman"/>
          <w:sz w:val="26"/>
        </w:rPr>
      </w:pPr>
    </w:p>
    <w:p w14:paraId="28000000">
      <w:pPr>
        <w:rPr>
          <w:rFonts w:ascii="Times New Roman" w:hAnsi="Times New Roman"/>
          <w:sz w:val="26"/>
        </w:rPr>
      </w:pPr>
    </w:p>
    <w:p w14:paraId="29000000">
      <w:pPr>
        <w:rPr>
          <w:rFonts w:ascii="Times New Roman" w:hAnsi="Times New Roman"/>
          <w:sz w:val="26"/>
        </w:rPr>
      </w:pPr>
    </w:p>
    <w:p w14:paraId="2A000000">
      <w:pPr>
        <w:rPr>
          <w:rFonts w:ascii="Times New Roman" w:hAnsi="Times New Roman"/>
          <w:sz w:val="26"/>
        </w:rPr>
      </w:pPr>
    </w:p>
    <w:p w14:paraId="2B000000">
      <w:pPr>
        <w:spacing w:after="0"/>
        <w:ind/>
        <w:jc w:val="right"/>
        <w:rPr>
          <w:rFonts w:ascii="Times New Roman" w:hAnsi="Times New Roman"/>
          <w:sz w:val="26"/>
        </w:rPr>
      </w:pPr>
    </w:p>
    <w:p w14:paraId="2C000000">
      <w:pPr>
        <w:spacing w:after="0"/>
        <w:ind/>
        <w:jc w:val="right"/>
        <w:rPr>
          <w:rFonts w:ascii="Times New Roman" w:hAnsi="Times New Roman"/>
          <w:sz w:val="26"/>
        </w:rPr>
      </w:pPr>
    </w:p>
    <w:p w14:paraId="2D000000">
      <w:pPr>
        <w:spacing w:after="0"/>
        <w:ind/>
        <w:jc w:val="right"/>
        <w:rPr>
          <w:rFonts w:ascii="Times New Roman" w:hAnsi="Times New Roman"/>
          <w:sz w:val="26"/>
        </w:rPr>
      </w:pPr>
    </w:p>
    <w:p w14:paraId="2E000000">
      <w:pPr>
        <w:spacing w:after="0"/>
        <w:ind/>
        <w:jc w:val="right"/>
        <w:rPr>
          <w:rFonts w:ascii="Times New Roman" w:hAnsi="Times New Roman"/>
          <w:sz w:val="26"/>
        </w:rPr>
      </w:pPr>
    </w:p>
    <w:p w14:paraId="2F000000">
      <w:pPr>
        <w:spacing w:after="0"/>
        <w:ind/>
        <w:jc w:val="right"/>
        <w:rPr>
          <w:rFonts w:ascii="Times New Roman" w:hAnsi="Times New Roman"/>
          <w:sz w:val="26"/>
        </w:rPr>
      </w:pPr>
    </w:p>
    <w:p w14:paraId="30000000">
      <w:pPr>
        <w:spacing w:after="0"/>
        <w:ind/>
        <w:jc w:val="right"/>
        <w:rPr>
          <w:rFonts w:ascii="Times New Roman" w:hAnsi="Times New Roman"/>
          <w:sz w:val="26"/>
        </w:rPr>
      </w:pPr>
    </w:p>
    <w:p w14:paraId="31000000">
      <w:pPr>
        <w:spacing w:after="0"/>
        <w:ind/>
        <w:jc w:val="right"/>
        <w:rPr>
          <w:rFonts w:ascii="Times New Roman" w:hAnsi="Times New Roman"/>
          <w:sz w:val="26"/>
        </w:rPr>
      </w:pPr>
    </w:p>
    <w:p w14:paraId="32000000">
      <w:pPr>
        <w:spacing w:after="0"/>
        <w:ind/>
        <w:jc w:val="right"/>
        <w:rPr>
          <w:rFonts w:ascii="Times New Roman" w:hAnsi="Times New Roman"/>
          <w:sz w:val="26"/>
        </w:rPr>
      </w:pPr>
    </w:p>
    <w:p w14:paraId="33000000">
      <w:pPr>
        <w:spacing w:after="0"/>
        <w:ind/>
        <w:jc w:val="right"/>
        <w:rPr>
          <w:rFonts w:ascii="Times New Roman" w:hAnsi="Times New Roman"/>
          <w:sz w:val="26"/>
        </w:rPr>
      </w:pPr>
    </w:p>
    <w:p w14:paraId="34000000">
      <w:pPr>
        <w:spacing w:after="0"/>
        <w:ind/>
        <w:jc w:val="right"/>
        <w:rPr>
          <w:rFonts w:ascii="Times New Roman" w:hAnsi="Times New Roman"/>
          <w:sz w:val="26"/>
        </w:rPr>
      </w:pPr>
    </w:p>
    <w:p w14:paraId="35000000">
      <w:pPr>
        <w:spacing w:after="0"/>
        <w:ind/>
        <w:jc w:val="right"/>
        <w:rPr>
          <w:rFonts w:ascii="Times New Roman" w:hAnsi="Times New Roman"/>
          <w:sz w:val="26"/>
        </w:rPr>
      </w:pPr>
    </w:p>
    <w:p w14:paraId="36000000">
      <w:pPr>
        <w:spacing w:after="0"/>
        <w:ind/>
        <w:jc w:val="righ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Приложение №1  </w:t>
      </w:r>
    </w:p>
    <w:p w14:paraId="37000000">
      <w:pPr>
        <w:spacing w:after="0"/>
        <w:ind/>
        <w:jc w:val="righ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к постановлению Администрации </w:t>
      </w:r>
    </w:p>
    <w:p w14:paraId="38000000">
      <w:pPr>
        <w:spacing w:after="0"/>
        <w:ind/>
        <w:jc w:val="righ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Сандовского муниципального округа </w:t>
      </w:r>
    </w:p>
    <w:p w14:paraId="39000000">
      <w:pPr>
        <w:spacing w:after="0"/>
        <w:ind/>
        <w:jc w:val="righ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Тверской области от 02.07.2021г № 219</w:t>
      </w:r>
    </w:p>
    <w:p w14:paraId="3A000000">
      <w:pPr>
        <w:spacing w:after="0"/>
        <w:ind/>
        <w:rPr>
          <w:rFonts w:ascii="Times New Roman" w:hAnsi="Times New Roman"/>
          <w:sz w:val="26"/>
        </w:rPr>
      </w:pPr>
    </w:p>
    <w:p w14:paraId="3B000000">
      <w:pPr>
        <w:spacing w:after="0"/>
        <w:ind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Порядок</w:t>
      </w:r>
    </w:p>
    <w:p w14:paraId="3C000000">
      <w:pPr>
        <w:spacing w:after="0"/>
        <w:ind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компенсации расходов на оплату жилых помещений, отопления и освещения педагогическим работникам муниципальных образовательных организаций Сандовского муниципального округа Тверской области, проживающим и работающим в сельских населённых пунктах, рабочих посёлках (посёлках городского типа)</w:t>
      </w:r>
    </w:p>
    <w:p w14:paraId="3D000000">
      <w:pPr>
        <w:spacing w:after="0"/>
        <w:ind/>
        <w:jc w:val="center"/>
        <w:rPr>
          <w:rFonts w:ascii="Times New Roman" w:hAnsi="Times New Roman"/>
          <w:sz w:val="26"/>
        </w:rPr>
      </w:pPr>
    </w:p>
    <w:p w14:paraId="3E000000">
      <w:pPr>
        <w:spacing w:after="0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1. </w:t>
      </w:r>
      <w:r>
        <w:rPr>
          <w:rFonts w:ascii="Times New Roman" w:hAnsi="Times New Roman"/>
          <w:sz w:val="26"/>
        </w:rPr>
        <w:t>Настоящий порядок определяет условия назначения и предоставления компенсации расходов на оплату жилых помещений, отопления и освещения (дале</w:t>
      </w:r>
      <w:r>
        <w:rPr>
          <w:rFonts w:ascii="Times New Roman" w:hAnsi="Times New Roman"/>
          <w:sz w:val="26"/>
        </w:rPr>
        <w:t>е-</w:t>
      </w:r>
      <w:r>
        <w:rPr>
          <w:rFonts w:ascii="Times New Roman" w:hAnsi="Times New Roman"/>
          <w:sz w:val="26"/>
        </w:rPr>
        <w:t xml:space="preserve"> ежемесячная денежная компенсация) педагогическим работникам муниципальных образовательных организаций Сандовского муниципального округа Тверской области, руководящим работникам, деятельность которых связана с образовательным процессом, муниципальных образовательных организаций Сандовского муниципального округа Тверской области</w:t>
      </w:r>
      <w:r>
        <w:rPr>
          <w:rFonts w:ascii="Times New Roman" w:hAnsi="Times New Roman"/>
          <w:sz w:val="26"/>
        </w:rPr>
        <w:t xml:space="preserve"> в соответствии с законом Тверской области от 22.12.2011  №82-ЗО «О компенсации расходов на оплату жилых помещений, отопления и освещения педагогическим работникам, проживающим и работающим в сельских населённых пунктах, рабочих посёлках (посёлках городского типа)</w:t>
      </w:r>
      <w:r>
        <w:rPr>
          <w:rFonts w:ascii="Times New Roman" w:hAnsi="Times New Roman"/>
          <w:sz w:val="26"/>
        </w:rPr>
        <w:t>»</w:t>
      </w:r>
      <w:r>
        <w:rPr>
          <w:rFonts w:ascii="Times New Roman" w:hAnsi="Times New Roman"/>
          <w:sz w:val="26"/>
        </w:rPr>
        <w:t xml:space="preserve"> (далее соответственно - Закон, педагогические работники).</w:t>
      </w:r>
    </w:p>
    <w:p w14:paraId="3F000000">
      <w:pPr>
        <w:spacing w:after="0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2. Право на ежемесячную денежную компенсацию имеют педагогические работники, занятые по основному месту работы.</w:t>
      </w:r>
    </w:p>
    <w:p w14:paraId="40000000">
      <w:pPr>
        <w:spacing w:after="0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3. Размер ежемесячной денежной компенсации устанавливается в соответствии со статьёй 2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Закона.</w:t>
      </w:r>
    </w:p>
    <w:p w14:paraId="41000000">
      <w:pPr>
        <w:spacing w:after="0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4. Ежемесячная </w:t>
      </w:r>
      <w:r>
        <w:rPr>
          <w:rFonts w:ascii="Times New Roman" w:hAnsi="Times New Roman"/>
          <w:sz w:val="26"/>
        </w:rPr>
        <w:t>денежная компенсация назначается и предоставляется:</w:t>
      </w:r>
    </w:p>
    <w:p w14:paraId="42000000">
      <w:pPr>
        <w:spacing w:after="0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а) 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педагогическим работникам муниципальных образовательных организаций</w:t>
      </w:r>
      <w:r>
        <w:rPr>
          <w:rFonts w:ascii="Times New Roman" w:hAnsi="Times New Roman"/>
          <w:sz w:val="26"/>
        </w:rPr>
        <w:t xml:space="preserve">  Сандовского муниципального округа Тверской области и руководящим работникам, деятельность которых связана с образовательным процессом, муниципальных образовательных организаций Сандовского муниципального округа Тверской области, - муниципальными образовательными организациями Сандовского муниципального округа Тверской области, в которых они работают (дале</w:t>
      </w:r>
      <w:r>
        <w:rPr>
          <w:rFonts w:ascii="Times New Roman" w:hAnsi="Times New Roman"/>
          <w:sz w:val="26"/>
        </w:rPr>
        <w:t>е-</w:t>
      </w:r>
      <w:r>
        <w:rPr>
          <w:rFonts w:ascii="Times New Roman" w:hAnsi="Times New Roman"/>
          <w:sz w:val="26"/>
        </w:rPr>
        <w:t xml:space="preserve"> муниципальная образовательная организация);</w:t>
      </w:r>
    </w:p>
    <w:p w14:paraId="43000000">
      <w:pPr>
        <w:spacing w:after="0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б) в случае, если педагогические работники, указанные в подпункте «а» настоящего пункта</w:t>
      </w:r>
      <w:r>
        <w:rPr>
          <w:rFonts w:ascii="Times New Roman" w:hAnsi="Times New Roman"/>
          <w:sz w:val="26"/>
        </w:rPr>
        <w:t xml:space="preserve">, после выхода на пенсию продолжили трудовую </w:t>
      </w:r>
      <w:r>
        <w:rPr>
          <w:rFonts w:ascii="Times New Roman" w:hAnsi="Times New Roman"/>
          <w:sz w:val="26"/>
        </w:rPr>
        <w:t>деятельность в муниципальных образовательных организациях, ежемесячная денежная компенсация предоставляется по месту работы.</w:t>
      </w:r>
    </w:p>
    <w:p w14:paraId="44000000">
      <w:pPr>
        <w:spacing w:after="0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5. Для назначения ежемесячной денежной компенсации педагогические работники, указанные в подпунктах «а» и «б» пункта 4 настоящего Порядка, представляют в муниципальные образовательные организации, в которых они работают:</w:t>
      </w:r>
    </w:p>
    <w:p w14:paraId="45000000">
      <w:pPr>
        <w:spacing w:after="0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 заявление о назначении ежемесячной денежной компенсации;</w:t>
      </w:r>
    </w:p>
    <w:p w14:paraId="46000000">
      <w:pPr>
        <w:spacing w:after="0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- справку из территориального отдела социальной защиты  населения Сандовского муниципального  округа Тверской области о неполучении педагогическим </w:t>
      </w:r>
      <w:r>
        <w:rPr>
          <w:rFonts w:ascii="Times New Roman" w:hAnsi="Times New Roman"/>
          <w:sz w:val="26"/>
        </w:rPr>
        <w:t>работником мер социальной поддержки по оплате жилого помещения и коммунальных услуг по иным основаниям.</w:t>
      </w:r>
    </w:p>
    <w:p w14:paraId="47000000">
      <w:pPr>
        <w:spacing w:after="0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6. </w:t>
      </w:r>
      <w:r>
        <w:rPr>
          <w:rFonts w:ascii="Times New Roman" w:hAnsi="Times New Roman"/>
          <w:sz w:val="26"/>
        </w:rPr>
        <w:t xml:space="preserve">Решение о назначении или об отказе в назначении ежемесячной денежной компенсации принимается муниципальной образовательной организацией в течение 10 рабочих дней со дня поступления письменного заявления педагогического работника с приложением справки из ТОСЗН по месту жительства о неполучении педагогическим работником мер социальной поддержки по оплате жилого помещения </w:t>
      </w:r>
      <w:r>
        <w:rPr>
          <w:rFonts w:ascii="Times New Roman" w:hAnsi="Times New Roman"/>
          <w:sz w:val="26"/>
        </w:rPr>
        <w:t>и коммунальных услуг по иным основаниям.</w:t>
      </w:r>
    </w:p>
    <w:p w14:paraId="48000000">
      <w:pPr>
        <w:spacing w:after="0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Письменное мотивированное уведомление об отказе в назначении ежемесячной денежной компенсации направляется (вручается) педагогическому работнику не позднее 5 рабочих дней после принятия соответствующего решения.</w:t>
      </w:r>
    </w:p>
    <w:p w14:paraId="49000000">
      <w:pPr>
        <w:spacing w:after="0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7. Отказ в назначении ежемесячной денежной компенсации осуществляется в случае отсутствия права на ежемесячную денежную компенсацию, установленную Законом;</w:t>
      </w:r>
    </w:p>
    <w:p w14:paraId="4A000000">
      <w:pPr>
        <w:spacing w:after="0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8. Предоставление ежемесячной</w:t>
      </w:r>
      <w:r>
        <w:rPr>
          <w:rFonts w:ascii="Times New Roman" w:hAnsi="Times New Roman"/>
          <w:sz w:val="26"/>
        </w:rPr>
        <w:t xml:space="preserve"> денежной компенсации осуществляется с 1 числа месяца</w:t>
      </w:r>
      <w:r>
        <w:rPr>
          <w:rFonts w:ascii="Times New Roman" w:hAnsi="Times New Roman"/>
          <w:sz w:val="26"/>
        </w:rPr>
        <w:t>, в котором были представлены необходимые документы, но не ранее даты возникновения права на получение ежемесячной денежной компенсации.</w:t>
      </w:r>
    </w:p>
    <w:p w14:paraId="4B000000">
      <w:pPr>
        <w:spacing w:after="0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9. Выплата ежемесячной денежной компенсации производится педагогическим работникам один раз в месяц за счёт средств областного бюджета.</w:t>
      </w:r>
    </w:p>
    <w:p w14:paraId="4C000000">
      <w:pPr>
        <w:spacing w:after="0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10. В случае наступления обязательств, влекущих прекращение предоставления денежной компенсации (увольнение с педагогической работы, за исключением случаев, предусмотренных законодательством, при которых за педагогическим работником сохраняется право на указанные меры социальной поддержки, смерть, переезд на постоянное место жительства в город, переход на получение мер социальной поддержки на оплату </w:t>
      </w:r>
      <w:r>
        <w:rPr>
          <w:rFonts w:ascii="Times New Roman" w:hAnsi="Times New Roman"/>
          <w:sz w:val="26"/>
        </w:rPr>
        <w:t>жилищно</w:t>
      </w:r>
      <w:r>
        <w:rPr>
          <w:rFonts w:ascii="Times New Roman" w:hAnsi="Times New Roman"/>
          <w:sz w:val="26"/>
        </w:rPr>
        <w:t>- коммунальных</w:t>
      </w:r>
      <w:r>
        <w:rPr>
          <w:rFonts w:ascii="Times New Roman" w:hAnsi="Times New Roman"/>
          <w:sz w:val="26"/>
        </w:rPr>
        <w:t xml:space="preserve"> услуг по другому основанию), </w:t>
      </w:r>
      <w:r>
        <w:rPr>
          <w:rFonts w:ascii="Times New Roman" w:hAnsi="Times New Roman"/>
          <w:sz w:val="26"/>
        </w:rPr>
        <w:t>предоставление ежемесячной денежной компенсации</w:t>
      </w:r>
      <w:r>
        <w:rPr>
          <w:rFonts w:ascii="Times New Roman" w:hAnsi="Times New Roman"/>
          <w:sz w:val="26"/>
        </w:rPr>
        <w:t xml:space="preserve"> прекращается с даты </w:t>
      </w:r>
      <w:r>
        <w:rPr>
          <w:rFonts w:ascii="Times New Roman" w:hAnsi="Times New Roman"/>
          <w:sz w:val="26"/>
        </w:rPr>
        <w:t>наступления соответствующих обязательств. Сумма компенсации в месяце, в котором наступили обстоятельства, влекущие прекращение предоставления денежной компенсации выплачивается пропорционально количеству отработанного времени в данном месяце.</w:t>
      </w:r>
    </w:p>
    <w:p w14:paraId="4D000000">
      <w:pPr>
        <w:spacing w:after="0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11. </w:t>
      </w:r>
      <w:r>
        <w:rPr>
          <w:rFonts w:ascii="Times New Roman" w:hAnsi="Times New Roman"/>
          <w:sz w:val="26"/>
        </w:rPr>
        <w:t xml:space="preserve">Ежемесячная денежная компенсация выплачивается за счёт средств субвенции, предоставленной </w:t>
      </w:r>
      <w:r>
        <w:rPr>
          <w:rFonts w:ascii="Times New Roman" w:hAnsi="Times New Roman"/>
          <w:sz w:val="26"/>
        </w:rPr>
        <w:t>из областного бюджета Тверской области бюджету Сандовского муниципального округа на осуществление переданных органам местного самоуправления отдельных государственных полномочий Тверской области по предоставлению компенсации расходов на оплату жилых помещений, отопления и освещения отдельным категориям педагогических работников, проживающим и работающим в сельских населённых пунктах, рабочих посёлках (посёлках городского типа).</w:t>
      </w:r>
    </w:p>
    <w:p w14:paraId="4E000000">
      <w:pPr>
        <w:spacing w:after="0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12. Муниципальные образовательные организации осуществляют оплату ежемесячной денежной компенсации на основании платёжных документов, представленных муниципальной </w:t>
      </w:r>
      <w:r>
        <w:rPr>
          <w:rFonts w:ascii="Times New Roman" w:hAnsi="Times New Roman"/>
          <w:sz w:val="26"/>
        </w:rPr>
        <w:t xml:space="preserve">образовательной организацией по месту открытия лицевого счёта, предназначенного для отражения операций по переданным </w:t>
      </w:r>
      <w:r>
        <w:rPr>
          <w:rFonts w:ascii="Times New Roman" w:hAnsi="Times New Roman"/>
          <w:sz w:val="26"/>
        </w:rPr>
        <w:t>полномочиям по исполнению публичных обязательств перед физическим лицом, подлежащих исполнению в денежной форме.</w:t>
      </w:r>
    </w:p>
    <w:p w14:paraId="4F000000">
      <w:pPr>
        <w:spacing w:after="0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13. </w:t>
      </w:r>
      <w:r>
        <w:rPr>
          <w:rFonts w:ascii="Times New Roman" w:hAnsi="Times New Roman"/>
          <w:sz w:val="26"/>
        </w:rPr>
        <w:t>Орган местного самоуправления ежемесячно в срок до 15 числа месяца, следующего за отчётным, текущего финансового года представляет в Министерство социальной защиты Тверской области заявку на предоставление субвенции на осуществление переданных органам местного самоуправления отдельных государственных полномочий Тверской области по предоставлению компенсации расходов на оплату жилых помещений, отопления и освещения отдельным категориям педагогических работников, проживающим и работающим в сельских населённых пунктах</w:t>
      </w:r>
      <w:r>
        <w:rPr>
          <w:rFonts w:ascii="Times New Roman" w:hAnsi="Times New Roman"/>
          <w:sz w:val="26"/>
        </w:rPr>
        <w:t xml:space="preserve">, рабочих </w:t>
      </w:r>
      <w:r>
        <w:rPr>
          <w:rFonts w:ascii="Times New Roman" w:hAnsi="Times New Roman"/>
          <w:sz w:val="26"/>
        </w:rPr>
        <w:t>посёлках</w:t>
      </w:r>
      <w:r>
        <w:rPr>
          <w:rFonts w:ascii="Times New Roman" w:hAnsi="Times New Roman"/>
          <w:sz w:val="26"/>
        </w:rPr>
        <w:t xml:space="preserve"> (посёлках городского типа).</w:t>
      </w:r>
    </w:p>
    <w:p w14:paraId="50000000">
      <w:pPr>
        <w:spacing w:after="0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14. Ежеквартальные отчёты о расходовании средств, направленных на финансирование ежемесячной денежной компенсации представляются органом местного самоуправления</w:t>
      </w:r>
      <w:r>
        <w:rPr>
          <w:rFonts w:ascii="Times New Roman" w:hAnsi="Times New Roman"/>
          <w:sz w:val="26"/>
        </w:rPr>
        <w:t xml:space="preserve"> до 15-го числа месяца, следующего за отчётным периодом в Министерство социальной защиты населения Тверской области.</w:t>
      </w:r>
    </w:p>
    <w:p w14:paraId="51000000">
      <w:pPr>
        <w:spacing w:after="0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15. </w:t>
      </w:r>
      <w:r>
        <w:rPr>
          <w:rFonts w:ascii="Times New Roman" w:hAnsi="Times New Roman"/>
          <w:sz w:val="26"/>
        </w:rPr>
        <w:t>Контроль за</w:t>
      </w:r>
      <w:r>
        <w:rPr>
          <w:rFonts w:ascii="Times New Roman" w:hAnsi="Times New Roman"/>
          <w:sz w:val="26"/>
        </w:rPr>
        <w:t xml:space="preserve"> предоставлением педагогическим работникам ежемесячной денежной компенсации и целевым использованием бюджетных средств осуществляет орган местного самоуправления.</w:t>
      </w:r>
    </w:p>
    <w:p w14:paraId="52000000">
      <w:pPr>
        <w:spacing w:after="0"/>
        <w:ind/>
        <w:jc w:val="both"/>
        <w:rPr>
          <w:rFonts w:ascii="Times New Roman" w:hAnsi="Times New Roman"/>
          <w:sz w:val="26"/>
        </w:rPr>
      </w:pPr>
    </w:p>
    <w:p w14:paraId="53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Управляющий делами Администрации</w:t>
      </w:r>
    </w:p>
    <w:p w14:paraId="54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Сандовского муниципального округа                                            Г.И.Горохова</w:t>
      </w:r>
      <w:r>
        <w:rPr>
          <w:rFonts w:ascii="Times New Roman" w:hAnsi="Times New Roman"/>
          <w:sz w:val="28"/>
        </w:rPr>
        <w:t xml:space="preserve">         </w:t>
      </w:r>
    </w:p>
    <w:sectPr>
      <w:footerReference r:id="rId1" w:type="default"/>
      <w:pgSz w:h="16838" w:w="11906"/>
      <w:pgMar w:bottom="1134" w:footer="708" w:gutter="0" w:header="708" w:left="1134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01000000"/>
</w:ftr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2" w:type="paragraph">
    <w:name w:val="toc 2"/>
    <w:next w:val="Style_1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toc 4"/>
    <w:next w:val="Style_1"/>
    <w:link w:val="Style_3_ch"/>
    <w:uiPriority w:val="39"/>
    <w:pPr>
      <w:ind w:firstLine="0" w:left="600"/>
    </w:pPr>
  </w:style>
  <w:style w:styleId="Style_3_ch" w:type="character">
    <w:name w:val="toc 4"/>
    <w:link w:val="Style_3"/>
  </w:style>
  <w:style w:styleId="Style_4" w:type="paragraph">
    <w:name w:val="toc 6"/>
    <w:next w:val="Style_1"/>
    <w:link w:val="Style_4_ch"/>
    <w:uiPriority w:val="39"/>
    <w:pPr>
      <w:ind w:firstLine="0" w:left="1000"/>
    </w:pPr>
  </w:style>
  <w:style w:styleId="Style_4_ch" w:type="character">
    <w:name w:val="toc 6"/>
    <w:link w:val="Style_4"/>
  </w:style>
  <w:style w:styleId="Style_5" w:type="paragraph">
    <w:name w:val="toc 7"/>
    <w:next w:val="Style_1"/>
    <w:link w:val="Style_5_ch"/>
    <w:uiPriority w:val="39"/>
    <w:pPr>
      <w:ind w:firstLine="0" w:left="1200"/>
    </w:pPr>
  </w:style>
  <w:style w:styleId="Style_5_ch" w:type="character">
    <w:name w:val="toc 7"/>
    <w:link w:val="Style_5"/>
  </w:style>
  <w:style w:styleId="Style_6" w:type="paragraph">
    <w:name w:val="heading 3"/>
    <w:next w:val="Style_1"/>
    <w:link w:val="Style_6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6_ch" w:type="character">
    <w:name w:val="heading 3"/>
    <w:link w:val="Style_6"/>
    <w:rPr>
      <w:rFonts w:ascii="XO Thames" w:hAnsi="XO Thames"/>
      <w:b w:val="1"/>
      <w:i w:val="1"/>
      <w:color w:val="000000"/>
    </w:rPr>
  </w:style>
  <w:style w:styleId="Style_7" w:type="paragraph">
    <w:name w:val="toc 3"/>
    <w:next w:val="Style_1"/>
    <w:link w:val="Style_7_ch"/>
    <w:uiPriority w:val="39"/>
    <w:pPr>
      <w:ind w:firstLine="0" w:left="400"/>
    </w:pPr>
  </w:style>
  <w:style w:styleId="Style_7_ch" w:type="character">
    <w:name w:val="toc 3"/>
    <w:link w:val="Style_7"/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9" w:type="paragraph">
    <w:name w:val="heading 5"/>
    <w:next w:val="Style_1"/>
    <w:link w:val="Style_9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9_ch" w:type="character">
    <w:name w:val="heading 5"/>
    <w:link w:val="Style_9"/>
    <w:rPr>
      <w:rFonts w:ascii="XO Thames" w:hAnsi="XO Thames"/>
      <w:b w:val="1"/>
      <w:color w:val="000000"/>
      <w:sz w:val="22"/>
    </w:rPr>
  </w:style>
  <w:style w:styleId="Style_10" w:type="paragraph">
    <w:name w:val="heading 1"/>
    <w:next w:val="Style_1"/>
    <w:link w:val="Style_10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1" w:type="paragraph">
    <w:name w:val="Hyperlink"/>
    <w:link w:val="Style_11_ch"/>
    <w:rPr>
      <w:color w:val="0000FF"/>
      <w:u w:val="single"/>
    </w:rPr>
  </w:style>
  <w:style w:styleId="Style_11_ch" w:type="character">
    <w:name w:val="Hyperlink"/>
    <w:link w:val="Style_11"/>
    <w:rPr>
      <w:color w:val="0000FF"/>
      <w:u w:val="single"/>
    </w:rPr>
  </w:style>
  <w:style w:styleId="Style_12" w:type="paragraph">
    <w:name w:val="Footnote"/>
    <w:link w:val="Style_12_ch"/>
    <w:pPr>
      <w:ind/>
      <w:jc w:val="left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next w:val="Style_1"/>
    <w:link w:val="Style_13_ch"/>
    <w:uiPriority w:val="39"/>
    <w:pPr>
      <w:ind w:firstLine="0" w:left="0"/>
    </w:pPr>
    <w:rPr>
      <w:rFonts w:ascii="XO Thames" w:hAnsi="XO Thames"/>
      <w:b w:val="1"/>
    </w:rPr>
  </w:style>
  <w:style w:styleId="Style_13_ch" w:type="character">
    <w:name w:val="toc 1"/>
    <w:link w:val="Style_13"/>
    <w:rPr>
      <w:rFonts w:ascii="XO Thames" w:hAnsi="XO Thames"/>
      <w:b w:val="1"/>
    </w:rPr>
  </w:style>
  <w:style w:styleId="Style_14" w:type="paragraph">
    <w:name w:val="Header and Footer"/>
    <w:link w:val="Style_14_ch"/>
    <w:pPr>
      <w:spacing w:line="360" w:lineRule="auto"/>
      <w:ind/>
    </w:pPr>
    <w:rPr>
      <w:rFonts w:ascii="XO Thames" w:hAnsi="XO Thames"/>
      <w:sz w:val="20"/>
    </w:rPr>
  </w:style>
  <w:style w:styleId="Style_14_ch" w:type="character">
    <w:name w:val="Header and Footer"/>
    <w:link w:val="Style_14"/>
    <w:rPr>
      <w:rFonts w:ascii="XO Thames" w:hAnsi="XO Thames"/>
      <w:sz w:val="20"/>
    </w:rPr>
  </w:style>
  <w:style w:styleId="Style_15" w:type="paragraph">
    <w:name w:val="toc 9"/>
    <w:next w:val="Style_1"/>
    <w:link w:val="Style_15_ch"/>
    <w:uiPriority w:val="39"/>
    <w:pPr>
      <w:ind w:firstLine="0" w:left="1600"/>
    </w:pPr>
  </w:style>
  <w:style w:styleId="Style_15_ch" w:type="character">
    <w:name w:val="toc 9"/>
    <w:link w:val="Style_15"/>
  </w:style>
  <w:style w:styleId="Style_16" w:type="paragraph">
    <w:name w:val="toc 8"/>
    <w:next w:val="Style_1"/>
    <w:link w:val="Style_16_ch"/>
    <w:uiPriority w:val="39"/>
    <w:pPr>
      <w:ind w:firstLine="0" w:left="1400"/>
    </w:pPr>
  </w:style>
  <w:style w:styleId="Style_16_ch" w:type="character">
    <w:name w:val="toc 8"/>
    <w:link w:val="Style_16"/>
  </w:style>
  <w:style w:styleId="Style_17" w:type="paragraph">
    <w:name w:val="toc 5"/>
    <w:next w:val="Style_1"/>
    <w:link w:val="Style_17_ch"/>
    <w:uiPriority w:val="39"/>
    <w:pPr>
      <w:ind w:firstLine="0" w:left="800"/>
    </w:pPr>
  </w:style>
  <w:style w:styleId="Style_17_ch" w:type="character">
    <w:name w:val="toc 5"/>
    <w:link w:val="Style_17"/>
  </w:style>
  <w:style w:styleId="Style_18" w:type="paragraph">
    <w:name w:val="List Paragraph"/>
    <w:basedOn w:val="Style_1"/>
    <w:link w:val="Style_18_ch"/>
    <w:pPr>
      <w:ind w:firstLine="0" w:left="720"/>
      <w:contextualSpacing w:val="1"/>
    </w:pPr>
  </w:style>
  <w:style w:styleId="Style_18_ch" w:type="character">
    <w:name w:val="List Paragraph"/>
    <w:basedOn w:val="Style_1_ch"/>
    <w:link w:val="Style_18"/>
  </w:style>
  <w:style w:styleId="Style_19" w:type="paragraph">
    <w:name w:val="Subtitle"/>
    <w:next w:val="Style_1"/>
    <w:link w:val="Style_19_ch"/>
    <w:uiPriority w:val="11"/>
    <w:qFormat/>
    <w:rPr>
      <w:rFonts w:ascii="XO Thames" w:hAnsi="XO Thames"/>
      <w:i w:val="1"/>
      <w:color w:val="616161"/>
      <w:sz w:val="24"/>
    </w:rPr>
  </w:style>
  <w:style w:styleId="Style_19_ch" w:type="character">
    <w:name w:val="Subtitle"/>
    <w:link w:val="Style_19"/>
    <w:rPr>
      <w:rFonts w:ascii="XO Thames" w:hAnsi="XO Thames"/>
      <w:i w:val="1"/>
      <w:color w:val="616161"/>
      <w:sz w:val="24"/>
    </w:rPr>
  </w:style>
  <w:style w:styleId="Style_20" w:type="paragraph">
    <w:name w:val="toc 10"/>
    <w:next w:val="Style_1"/>
    <w:link w:val="Style_20_ch"/>
    <w:uiPriority w:val="39"/>
    <w:pPr>
      <w:ind w:firstLine="0" w:left="1800"/>
    </w:pPr>
  </w:style>
  <w:style w:styleId="Style_20_ch" w:type="character">
    <w:name w:val="toc 10"/>
    <w:link w:val="Style_20"/>
  </w:style>
  <w:style w:styleId="Style_21" w:type="paragraph">
    <w:name w:val="Title"/>
    <w:next w:val="Style_1"/>
    <w:link w:val="Style_21_ch"/>
    <w:uiPriority w:val="10"/>
    <w:qFormat/>
    <w:rPr>
      <w:rFonts w:ascii="XO Thames" w:hAnsi="XO Thames"/>
      <w:b w:val="1"/>
      <w:sz w:val="52"/>
    </w:rPr>
  </w:style>
  <w:style w:styleId="Style_21_ch" w:type="character">
    <w:name w:val="Title"/>
    <w:link w:val="Style_21"/>
    <w:rPr>
      <w:rFonts w:ascii="XO Thames" w:hAnsi="XO Thames"/>
      <w:b w:val="1"/>
      <w:sz w:val="52"/>
    </w:rPr>
  </w:style>
  <w:style w:styleId="Style_22" w:type="paragraph">
    <w:name w:val="heading 4"/>
    <w:next w:val="Style_1"/>
    <w:link w:val="Style_22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2_ch" w:type="character">
    <w:name w:val="heading 4"/>
    <w:link w:val="Style_22"/>
    <w:rPr>
      <w:rFonts w:ascii="XO Thames" w:hAnsi="XO Thames"/>
      <w:b w:val="1"/>
      <w:color w:val="595959"/>
      <w:sz w:val="26"/>
    </w:rPr>
  </w:style>
  <w:style w:styleId="Style_23" w:type="paragraph">
    <w:name w:val="heading 2"/>
    <w:next w:val="Style_1"/>
    <w:link w:val="Style_23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3_ch" w:type="character">
    <w:name w:val="heading 2"/>
    <w:link w:val="Style_23"/>
    <w:rPr>
      <w:rFonts w:ascii="XO Thames" w:hAnsi="XO Thames"/>
      <w:b w:val="1"/>
      <w:color w:val="00A0FF"/>
      <w:sz w:val="26"/>
    </w:rPr>
  </w:style>
  <w:style w:default="1" w:styleId="Style_2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8" Target="theme/theme1.xml" Type="http://schemas.openxmlformats.org/officeDocument/2006/relationships/theme"/>
  <Relationship Id="rId2" Target="media/1.emf" Type="http://schemas.openxmlformats.org/officeDocument/2006/relationships/image"/>
  <Relationship Id="rId3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2021-07-05T06:40:32Z</dcterms:modified>
</cp:coreProperties>
</file>