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Autospacing="on" w:beforeAutospacing="on" w:line="240" w:lineRule="auto"/>
        <w:ind/>
        <w:jc w:val="center"/>
        <w:rPr>
          <w:rFonts w:ascii="Roboto Condensed" w:hAnsi="Roboto Condensed"/>
          <w:color w:val="000000"/>
          <w:sz w:val="30"/>
        </w:rPr>
      </w:pPr>
      <w:r>
        <w:rPr>
          <w:rFonts w:ascii="Roboto Condensed" w:hAnsi="Roboto Condensed"/>
          <w:color w:val="000000"/>
          <w:sz w:val="30"/>
        </w:rPr>
        <w:drawing>
          <wp:inline>
            <wp:extent cx="457200" cy="5429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57200" cy="5429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 xml:space="preserve">АДМИНИСТРАЦИЯ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>САНДОВСКОГО МУНИЦИПАЛЬНОГО ОКРУГА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Тверской области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>ПОСТАНОВЛЕНИЕ</w:t>
      </w:r>
    </w:p>
    <w:p w14:paraId="06000000">
      <w:pPr>
        <w:spacing w:after="0" w:line="240" w:lineRule="auto"/>
        <w:ind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22.</w:t>
      </w:r>
      <w:r>
        <w:rPr>
          <w:rFonts w:ascii="Times New Roman" w:hAnsi="Times New Roman"/>
          <w:color w:val="000000"/>
          <w:sz w:val="30"/>
        </w:rPr>
        <w:t>03</w:t>
      </w:r>
      <w:r>
        <w:rPr>
          <w:rFonts w:ascii="Times New Roman" w:hAnsi="Times New Roman"/>
          <w:color w:val="000000"/>
          <w:sz w:val="30"/>
        </w:rPr>
        <w:t>. 2021</w:t>
      </w:r>
      <w:r>
        <w:rPr>
          <w:rFonts w:ascii="Times New Roman" w:hAnsi="Times New Roman"/>
          <w:color w:val="000000"/>
          <w:sz w:val="30"/>
        </w:rPr>
        <w:t xml:space="preserve"> год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        </w:t>
      </w:r>
      <w:r>
        <w:rPr>
          <w:rFonts w:ascii="Times New Roman" w:hAnsi="Times New Roman"/>
          <w:color w:val="000000"/>
          <w:sz w:val="30"/>
        </w:rPr>
        <w:t xml:space="preserve">          </w:t>
      </w:r>
      <w:r>
        <w:rPr>
          <w:rFonts w:ascii="Times New Roman" w:hAnsi="Times New Roman"/>
          <w:color w:val="000000"/>
          <w:sz w:val="30"/>
        </w:rPr>
        <w:t xml:space="preserve">    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   </w:t>
      </w:r>
      <w:r>
        <w:rPr>
          <w:rFonts w:ascii="Times New Roman" w:hAnsi="Times New Roman"/>
          <w:color w:val="000000"/>
          <w:sz w:val="30"/>
        </w:rPr>
        <w:t xml:space="preserve">  </w:t>
      </w:r>
      <w:r>
        <w:rPr>
          <w:rFonts w:ascii="Times New Roman" w:hAnsi="Times New Roman"/>
          <w:color w:val="000000"/>
          <w:sz w:val="30"/>
        </w:rPr>
        <w:t xml:space="preserve">  </w:t>
      </w:r>
      <w:r>
        <w:rPr>
          <w:rFonts w:ascii="Times New Roman" w:hAnsi="Times New Roman"/>
          <w:color w:val="000000"/>
          <w:sz w:val="30"/>
        </w:rPr>
        <w:t>п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Сандово                    </w:t>
      </w:r>
      <w:r>
        <w:rPr>
          <w:rFonts w:ascii="Times New Roman" w:hAnsi="Times New Roman"/>
          <w:color w:val="000000"/>
          <w:sz w:val="30"/>
        </w:rPr>
        <w:t xml:space="preserve">              </w:t>
      </w:r>
      <w:r>
        <w:rPr>
          <w:rFonts w:ascii="Times New Roman" w:hAnsi="Times New Roman"/>
          <w:color w:val="000000"/>
          <w:sz w:val="30"/>
        </w:rPr>
        <w:t xml:space="preserve">     </w:t>
      </w:r>
      <w:r>
        <w:rPr>
          <w:rFonts w:ascii="Times New Roman" w:hAnsi="Times New Roman"/>
          <w:color w:val="000000"/>
          <w:sz w:val="30"/>
        </w:rPr>
        <w:t>№ 116</w:t>
      </w:r>
    </w:p>
    <w:p w14:paraId="07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0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 утверждении плана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ероприятий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улучшению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ачества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питьевой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воды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Roboto Condensed" w:hAnsi="Roboto Condensed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          </w:t>
      </w:r>
      <w:r>
        <w:rPr>
          <w:rFonts w:ascii="Times New Roman" w:hAnsi="Times New Roman"/>
          <w:color w:val="000000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.12.</w:t>
      </w:r>
      <w:r>
        <w:rPr>
          <w:rFonts w:ascii="Times New Roman" w:hAnsi="Times New Roman"/>
          <w:color w:val="000000"/>
          <w:sz w:val="28"/>
        </w:rPr>
        <w:t>2011 № 416-ФЗ "О водоснабжении и водоотведении",</w:t>
      </w:r>
      <w:r>
        <w:rPr>
          <w:rFonts w:ascii="Times New Roman" w:hAnsi="Times New Roman"/>
          <w:color w:val="000000"/>
          <w:sz w:val="28"/>
        </w:rPr>
        <w:t xml:space="preserve">  требованиями СанПи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2.1.4.1074-01 «Питьевая вода. Гигиенических требований к качеству воды централизованных систем питьевого водоснабжения. Контроль качества.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Гигиенические требования к обеспечению безопасности систем горячего водоснабж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ния»,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постановлением Правительства Российской Федерации от 06.03.1998 № 292 «О Концепции Федеральной целевой программы «Обеспечение населения России питьевой водой»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осуществлении первоочередных мероприятий по улучшению водоснабжения населения</w:t>
      </w:r>
      <w:r>
        <w:rPr>
          <w:rFonts w:ascii="Times New Roman" w:hAnsi="Times New Roman"/>
          <w:color w:val="000000"/>
          <w:sz w:val="28"/>
        </w:rPr>
        <w:t xml:space="preserve">, руководствуясь Уставом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ешением Думы Сандовского муниципального округа от 29.12.2020 №83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 реорганизации Администрации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Тверской области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 целях осуществления первоочередных мероприятий по улучшению водоснабжения населения,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</w:rPr>
        <w:t>Сандовского мун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ципального округа </w:t>
      </w:r>
    </w:p>
    <w:p w14:paraId="0B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ПОСТАНОВЛЯЕТ:</w:t>
      </w:r>
    </w:p>
    <w:p w14:paraId="0C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1. Утвердить прилагаемый план мероприятий по улучшению качества питьевой воды </w:t>
      </w:r>
      <w:r>
        <w:rPr>
          <w:rFonts w:ascii="Times New Roman" w:hAnsi="Times New Roman"/>
          <w:color w:val="000000"/>
          <w:sz w:val="30"/>
        </w:rPr>
        <w:t>на территори</w:t>
      </w:r>
      <w:r>
        <w:rPr>
          <w:rFonts w:ascii="Times New Roman" w:hAnsi="Times New Roman"/>
          <w:color w:val="000000"/>
          <w:sz w:val="30"/>
        </w:rPr>
        <w:t>и</w:t>
      </w:r>
      <w:r>
        <w:rPr>
          <w:rFonts w:ascii="Times New Roman" w:hAnsi="Times New Roman"/>
          <w:color w:val="000000"/>
          <w:sz w:val="30"/>
        </w:rPr>
        <w:t xml:space="preserve"> Сандовского </w:t>
      </w:r>
      <w:r>
        <w:rPr>
          <w:rFonts w:ascii="Times New Roman" w:hAnsi="Times New Roman"/>
          <w:color w:val="000000"/>
          <w:sz w:val="30"/>
        </w:rPr>
        <w:t>мун</w:t>
      </w:r>
      <w:r>
        <w:rPr>
          <w:rFonts w:ascii="Times New Roman" w:hAnsi="Times New Roman"/>
          <w:color w:val="000000"/>
          <w:sz w:val="30"/>
        </w:rPr>
        <w:t>и</w:t>
      </w:r>
      <w:r>
        <w:rPr>
          <w:rFonts w:ascii="Times New Roman" w:hAnsi="Times New Roman"/>
          <w:color w:val="000000"/>
          <w:sz w:val="30"/>
        </w:rPr>
        <w:t>ципального округа Тверской области на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2021</w:t>
      </w: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>20</w:t>
      </w:r>
      <w:r>
        <w:rPr>
          <w:rFonts w:ascii="Times New Roman" w:hAnsi="Times New Roman"/>
          <w:color w:val="000000"/>
          <w:sz w:val="30"/>
        </w:rPr>
        <w:t>22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годы.</w:t>
      </w:r>
      <w:r>
        <w:rPr>
          <w:rFonts w:ascii="Times New Roman" w:hAnsi="Times New Roman"/>
          <w:color w:val="000000"/>
          <w:sz w:val="30"/>
        </w:rPr>
        <w:br/>
      </w:r>
      <w:r>
        <w:rPr>
          <w:rFonts w:ascii="Times New Roman" w:hAnsi="Times New Roman"/>
          <w:color w:val="000000"/>
          <w:sz w:val="30"/>
        </w:rPr>
        <w:t xml:space="preserve">         </w:t>
      </w:r>
      <w:r>
        <w:rPr>
          <w:rFonts w:ascii="Times New Roman" w:hAnsi="Times New Roman"/>
          <w:color w:val="000000"/>
          <w:sz w:val="30"/>
        </w:rPr>
        <w:t xml:space="preserve">2. Постановление вступает в силу со дня его </w:t>
      </w:r>
      <w:r>
        <w:rPr>
          <w:rFonts w:ascii="Times New Roman" w:hAnsi="Times New Roman"/>
          <w:color w:val="000000"/>
          <w:sz w:val="30"/>
        </w:rPr>
        <w:t>подписания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и подлежит размещению на официальном сайте </w:t>
      </w:r>
      <w:r>
        <w:rPr>
          <w:rFonts w:ascii="Times New Roman" w:hAnsi="Times New Roman"/>
          <w:color w:val="000000"/>
          <w:sz w:val="30"/>
        </w:rPr>
        <w:t>Сандовского мун</w:t>
      </w:r>
      <w:r>
        <w:rPr>
          <w:rFonts w:ascii="Times New Roman" w:hAnsi="Times New Roman"/>
          <w:color w:val="000000"/>
          <w:sz w:val="30"/>
        </w:rPr>
        <w:t>и</w:t>
      </w:r>
      <w:r>
        <w:rPr>
          <w:rFonts w:ascii="Times New Roman" w:hAnsi="Times New Roman"/>
          <w:color w:val="000000"/>
          <w:sz w:val="30"/>
        </w:rPr>
        <w:t xml:space="preserve">ципального округа </w:t>
      </w:r>
      <w:r>
        <w:rPr>
          <w:rFonts w:ascii="Times New Roman" w:hAnsi="Times New Roman"/>
          <w:color w:val="000000"/>
          <w:sz w:val="30"/>
        </w:rPr>
        <w:t xml:space="preserve">в сети </w:t>
      </w:r>
      <w:r>
        <w:rPr>
          <w:rFonts w:ascii="Times New Roman" w:hAnsi="Times New Roman"/>
          <w:color w:val="000000"/>
          <w:sz w:val="30"/>
        </w:rPr>
        <w:t>«</w:t>
      </w:r>
      <w:r>
        <w:rPr>
          <w:rFonts w:ascii="Times New Roman" w:hAnsi="Times New Roman"/>
          <w:color w:val="000000"/>
          <w:sz w:val="30"/>
        </w:rPr>
        <w:t>Интернет</w:t>
      </w:r>
      <w:r>
        <w:rPr>
          <w:rFonts w:ascii="Times New Roman" w:hAnsi="Times New Roman"/>
          <w:color w:val="000000"/>
          <w:sz w:val="30"/>
        </w:rPr>
        <w:t>»</w:t>
      </w:r>
      <w:r>
        <w:rPr>
          <w:rFonts w:ascii="Times New Roman" w:hAnsi="Times New Roman"/>
          <w:color w:val="000000"/>
          <w:sz w:val="30"/>
        </w:rPr>
        <w:t>.</w:t>
      </w:r>
    </w:p>
    <w:p w14:paraId="0D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30"/>
        </w:rPr>
      </w:pPr>
    </w:p>
    <w:p w14:paraId="0E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Глава </w:t>
      </w:r>
      <w:r>
        <w:rPr>
          <w:rFonts w:ascii="Times New Roman" w:hAnsi="Times New Roman"/>
          <w:color w:val="000000"/>
          <w:sz w:val="30"/>
        </w:rPr>
        <w:t xml:space="preserve">Сандовского муниципального округа                     </w:t>
      </w:r>
      <w:r>
        <w:rPr>
          <w:rFonts w:ascii="Times New Roman" w:hAnsi="Times New Roman"/>
          <w:color w:val="000000"/>
          <w:sz w:val="30"/>
        </w:rPr>
        <w:t xml:space="preserve">    </w:t>
      </w:r>
      <w:r>
        <w:rPr>
          <w:rFonts w:ascii="Times New Roman" w:hAnsi="Times New Roman"/>
          <w:color w:val="000000"/>
          <w:sz w:val="30"/>
        </w:rPr>
        <w:t xml:space="preserve"> Грязнов О.Н.</w:t>
      </w:r>
    </w:p>
    <w:p w14:paraId="0F000000">
      <w:pPr>
        <w:sectPr>
          <w:pgSz w:h="16838" w:w="11906"/>
          <w:pgMar w:bottom="1134" w:footer="709" w:gutter="0" w:header="709" w:left="1418" w:right="851" w:top="851"/>
        </w:sectPr>
      </w:pPr>
    </w:p>
    <w:p w14:paraId="10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14:paraId="11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 территориального отдела                                                                                                                                              </w:t>
      </w:r>
    </w:p>
    <w:p w14:paraId="12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В Бежецком районе.</w:t>
      </w:r>
    </w:p>
    <w:p w14:paraId="13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Федеральная служба по надзору</w:t>
      </w:r>
    </w:p>
    <w:p w14:paraId="14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сфере защиты прав потребителей и благополучия человека.                </w:t>
      </w:r>
    </w:p>
    <w:p w14:paraId="15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по Тверской  области.</w:t>
      </w:r>
    </w:p>
    <w:p w14:paraId="16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Дата  «____»__________20____г</w:t>
      </w:r>
    </w:p>
    <w:p w14:paraId="17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 (</w:t>
      </w:r>
      <w:r>
        <w:rPr>
          <w:rFonts w:ascii="Times New Roman" w:hAnsi="Times New Roman"/>
        </w:rPr>
        <w:t>Звездочкина Е.А)</w:t>
      </w:r>
    </w:p>
    <w:p w14:paraId="18000000">
      <w:pPr>
        <w:pStyle w:val="Style_2"/>
        <w:ind/>
        <w:jc w:val="center"/>
        <w:rPr>
          <w:b w:val="1"/>
        </w:rPr>
      </w:pPr>
    </w:p>
    <w:p w14:paraId="19000000">
      <w:pPr>
        <w:pStyle w:val="Style_1"/>
        <w:ind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</w:t>
      </w:r>
      <w:r>
        <w:t xml:space="preserve">              </w:t>
      </w:r>
      <w:r>
        <w:t xml:space="preserve">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Приложение                </w:t>
      </w:r>
    </w:p>
    <w:p w14:paraId="1A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к пос</w:t>
      </w:r>
      <w:r>
        <w:rPr>
          <w:rFonts w:ascii="Times New Roman" w:hAnsi="Times New Roman"/>
        </w:rPr>
        <w:t xml:space="preserve">тановлению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</w:t>
      </w:r>
    </w:p>
    <w:p w14:paraId="1B000000">
      <w:pPr>
        <w:pStyle w:val="Style_1"/>
        <w:ind/>
        <w:jc w:val="right"/>
        <w:rPr>
          <w:rStyle w:val="Style_3_ch"/>
          <w:rFonts w:ascii="Times New Roman" w:hAnsi="Times New Roman"/>
          <w:i w:val="0"/>
          <w:color w:val="000000"/>
        </w:rPr>
      </w:pPr>
      <w:r>
        <w:rPr>
          <w:rStyle w:val="Style_3_ch"/>
          <w:rFonts w:ascii="Times New Roman" w:hAnsi="Times New Roman"/>
          <w:i w:val="0"/>
          <w:color w:val="000000"/>
          <w:sz w:val="20"/>
        </w:rPr>
        <w:t xml:space="preserve">                                    </w:t>
      </w:r>
      <w:r>
        <w:rPr>
          <w:rStyle w:val="Style_3_ch"/>
          <w:rFonts w:ascii="Times New Roman" w:hAnsi="Times New Roman"/>
          <w:i w:val="0"/>
          <w:color w:val="000000"/>
          <w:sz w:val="20"/>
        </w:rPr>
        <w:t xml:space="preserve">                                                        </w:t>
      </w:r>
      <w:r>
        <w:rPr>
          <w:rStyle w:val="Style_3_ch"/>
          <w:rFonts w:ascii="Times New Roman" w:hAnsi="Times New Roman"/>
          <w:i w:val="0"/>
          <w:color w:val="00000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color w:val="000000"/>
          <w:sz w:val="22"/>
        </w:rPr>
        <w:t xml:space="preserve">Сандовского муниципального округа </w:t>
      </w:r>
    </w:p>
    <w:p w14:paraId="1C000000">
      <w:pPr>
        <w:pStyle w:val="Style_1"/>
        <w:ind/>
        <w:jc w:val="right"/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от 22.03.2021 г №116</w:t>
      </w:r>
      <w:r>
        <w:rPr>
          <w:rFonts w:ascii="Times New Roman" w:hAnsi="Times New Roman"/>
          <w:color w:val="000000"/>
        </w:rPr>
        <w:t xml:space="preserve">  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14:paraId="1D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План мероприятий по улучшению качества питьевой воды                                                                                                                </w:t>
      </w:r>
      <w:r>
        <w:rPr>
          <w:b w:val="1"/>
          <w:sz w:val="28"/>
        </w:rPr>
        <w:t>на территории Сандовского муниципального округа Тверской области</w:t>
      </w:r>
      <w:r>
        <w:rPr>
          <w:b w:val="1"/>
          <w:sz w:val="28"/>
        </w:rPr>
        <w:t xml:space="preserve"> на 2021</w:t>
      </w:r>
      <w:r>
        <w:rPr>
          <w:b w:val="1"/>
          <w:sz w:val="28"/>
        </w:rPr>
        <w:t>-2022 годы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4519"/>
        <w:gridCol w:w="2833"/>
        <w:gridCol w:w="949"/>
        <w:gridCol w:w="992"/>
        <w:gridCol w:w="1421"/>
        <w:gridCol w:w="3045"/>
        <w:gridCol w:w="7"/>
      </w:tblGrid>
      <w:tr>
        <w:trPr>
          <w:trHeight w:hRule="atLeast" w:val="778"/>
          <w:hidden w:val="0"/>
        </w:trPr>
        <w:tc>
          <w:tcPr>
            <w:tcW w:type="dxa" w:w="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45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период проведения, годы</w:t>
            </w:r>
          </w:p>
        </w:tc>
        <w:tc>
          <w:tcPr>
            <w:tcW w:type="dxa" w:w="33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ответственный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2"/>
              </w:rPr>
            </w:pPr>
          </w:p>
        </w:tc>
      </w:tr>
      <w:tr>
        <w:trPr>
          <w:trHeight w:hRule="atLeast" w:val="200"/>
        </w:trP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2021г.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2022г.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всего периода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z w:val="22"/>
              </w:rPr>
              <w:t xml:space="preserve"> Большемалинского</w:t>
            </w:r>
            <w:r>
              <w:rPr>
                <w:sz w:val="22"/>
              </w:rPr>
              <w:t xml:space="preserve"> сельского поселения</w:t>
            </w:r>
          </w:p>
          <w:p w14:paraId="2E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Соболинского</w:t>
            </w:r>
          </w:p>
          <w:p w14:paraId="2F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сельского поселения</w:t>
            </w:r>
          </w:p>
          <w:p w14:paraId="3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Выявление бесхозяйных объектов централизованных систем холодного водоснабжения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всего периода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Администрация Соболинского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сельского поселения</w:t>
            </w:r>
          </w:p>
          <w:p w14:paraId="38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 xml:space="preserve">Оборудование приборами учета расхода воды из артезианских скважин 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Администрация Соболинского</w:t>
            </w:r>
          </w:p>
          <w:p w14:paraId="4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</w:p>
          <w:p w14:paraId="41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rPr>
          <w:trHeight w:hRule="atLeast" w:val="1014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  <w:p w14:paraId="4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5</w:t>
            </w:r>
          </w:p>
          <w:p w14:paraId="47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</w:p>
          <w:p w14:paraId="4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4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</w:p>
          <w:p w14:paraId="4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 Сандовского муниципального округа</w:t>
            </w:r>
          </w:p>
        </w:tc>
      </w:tr>
      <w:tr>
        <w:trPr>
          <w:trHeight w:hRule="atLeast" w:val="549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Контроль фактического потребления холодной воды  абонентами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5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</w:p>
          <w:p w14:paraId="56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 Сандовского муниципального округа</w:t>
            </w:r>
          </w:p>
        </w:tc>
      </w:tr>
      <w:tr>
        <w:trPr>
          <w:trHeight w:hRule="atLeast" w:val="557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 xml:space="preserve">Установка приборов учёта  воды                                                                                                                                               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>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5E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</w:p>
          <w:p w14:paraId="5F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 Сандовского муниципального округа</w:t>
            </w:r>
          </w:p>
        </w:tc>
      </w:tr>
      <w:tr>
        <w:trPr>
          <w:trHeight w:hRule="atLeast" w:val="702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 xml:space="preserve">Подключение объектов капитального строительства к централизованным системам холодного водоснабжения 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 поступлении заявлений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67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</w:t>
            </w:r>
          </w:p>
          <w:p w14:paraId="68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Собственники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 xml:space="preserve">Установка фильтров 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7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</w:t>
            </w:r>
          </w:p>
        </w:tc>
      </w:tr>
      <w:tr>
        <w:trPr>
          <w:trHeight w:hRule="atLeast" w:val="705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Проведение плановых ремонтов объектов централизованной системы холодного водоснабжения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2"/>
              <w:spacing w:after="0" w:before="0"/>
              <w:ind/>
              <w:rPr>
                <w:sz w:val="22"/>
              </w:rPr>
            </w:pPr>
          </w:p>
          <w:p w14:paraId="7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  <w:p w14:paraId="76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  <w:p w14:paraId="78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2"/>
              <w:spacing w:after="0" w:before="0"/>
              <w:ind/>
              <w:rPr>
                <w:sz w:val="22"/>
              </w:rPr>
            </w:pPr>
          </w:p>
          <w:p w14:paraId="7A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10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7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rPr>
          <w:trHeight w:hRule="atLeast" w:val="705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Капитальный ремонт и строительства новых объектов водоснабжения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в соответствии плана модернизации системы водоснабжения поселения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2"/>
              <w:spacing w:after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8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  <w:r>
              <w:rPr>
                <w:sz w:val="22"/>
              </w:rPr>
              <w:t>Бюджет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Сандовского муниципального округа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инвесторы</w:t>
            </w:r>
          </w:p>
        </w:tc>
      </w:tr>
      <w:tr>
        <w:trPr>
          <w:trHeight w:hRule="atLeast" w:val="705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Оборудование и поддержание в исправном состоянии ограждение зон санитарной охраны артезианских скважин в соответствии с требованиями СанПиН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8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rPr>
          <w:trHeight w:hRule="atLeast" w:val="705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Проводить вырубку кустарников и скос травы зон санитарной охраны 1 пояса артскважин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2-3 квартал ежегодно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9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rPr>
          <w:trHeight w:hRule="atLeast" w:val="705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Промывка резервуаров чистой воды водозаборов,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системы водоснабжения 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9C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rPr>
          <w:trHeight w:hRule="atLeast" w:val="705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Ремонт, очистка колодцев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Большемалинского сельского поселения Администрация Соболинского</w:t>
            </w:r>
          </w:p>
          <w:p w14:paraId="A4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сельского поселения </w:t>
            </w: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Сандовского муниципального округа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4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2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 xml:space="preserve">  ИТОГО 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  <w:tc>
          <w:tcPr>
            <w:tcW w:type="dxa" w:w="3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2"/>
              <w:spacing w:after="0" w:before="0"/>
              <w:ind/>
              <w:jc w:val="center"/>
              <w:rPr>
                <w:sz w:val="22"/>
              </w:rPr>
            </w:pPr>
          </w:p>
        </w:tc>
      </w:tr>
    </w:tbl>
    <w:p w14:paraId="AC000000">
      <w:pPr>
        <w:pStyle w:val="Style_5"/>
        <w:spacing w:after="0" w:before="0"/>
        <w:ind/>
      </w:pPr>
      <w:r>
        <w:t xml:space="preserve">                                                                                                   </w:t>
      </w:r>
    </w:p>
    <w:p w14:paraId="AD000000">
      <w:pPr>
        <w:pStyle w:val="Style_5"/>
        <w:spacing w:after="0" w:before="0"/>
        <w:ind/>
      </w:pPr>
      <w:r>
        <w:t xml:space="preserve">                                                                                                   </w:t>
      </w:r>
    </w:p>
    <w:p w14:paraId="AE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AF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0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1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2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3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4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5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6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7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8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9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BA000000">
      <w:pPr>
        <w:spacing w:after="300" w:line="240" w:lineRule="auto"/>
        <w:ind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КРИТЕРИИ СУЩЕСТВЕННОГО УХУДШЕНИЯ КАЧЕСТВА ПИТЬЕВОЙ ВОДЫ, ПОКАЗАТЕЛИ КАЧЕСТВА ПИТЬЕВОЙ ВОДЫ, ХАРАКТЕРИЗУЮЩИЕ ЕЕ БЕЗОПАСНОСТЬ, ПО КОТОРЫМ ОСУЩЕСТВЛЯЕТСЯ ПРОИЗВОДСТВЕННЫЙ КОНТРОЛЬ (ГИГИЕНИЧЕСКИЕ НОРМАТИВЫ)</w:t>
      </w:r>
      <w:bookmarkStart w:id="1" w:name="l56"/>
      <w:bookmarkEnd w:id="1"/>
      <w:bookmarkStart w:id="2" w:name="l78"/>
      <w:bookmarkEnd w:id="2"/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0"/>
        <w:gridCol w:w="1958"/>
        <w:gridCol w:w="2390"/>
        <w:gridCol w:w="3260"/>
        <w:gridCol w:w="2126"/>
        <w:gridCol w:w="2093"/>
        <w:gridCol w:w="2379"/>
      </w:tblGrid>
      <w:tr>
        <w:trPr>
          <w:trHeight w:hRule="atLeast" w:val="1541"/>
        </w:trPr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№</w:t>
            </w:r>
          </w:p>
          <w:p w14:paraId="BC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п\п</w:t>
            </w: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Наиме</w:t>
            </w:r>
            <w:r>
              <w:rPr>
                <w:rFonts w:ascii="Times New Roman" w:hAnsi="Times New Roman"/>
                <w:color w:val="000000"/>
                <w:sz w:val="27"/>
              </w:rPr>
              <w:t>н</w:t>
            </w:r>
            <w:r>
              <w:rPr>
                <w:rFonts w:ascii="Times New Roman" w:hAnsi="Times New Roman"/>
                <w:color w:val="000000"/>
                <w:sz w:val="27"/>
              </w:rPr>
              <w:t>ование</w:t>
            </w:r>
          </w:p>
          <w:p w14:paraId="BE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н</w:t>
            </w:r>
            <w:r>
              <w:rPr>
                <w:rFonts w:ascii="Times New Roman" w:hAnsi="Times New Roman"/>
                <w:color w:val="000000"/>
                <w:sz w:val="27"/>
              </w:rPr>
              <w:t>аселенного</w:t>
            </w:r>
          </w:p>
          <w:p w14:paraId="BF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пункта 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300"/>
              <w:ind w:firstLine="0" w:left="603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Запах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Цветность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Мутность 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Привкус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Железо</w:t>
            </w:r>
          </w:p>
        </w:tc>
      </w:tr>
      <w:tr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</w:t>
            </w: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Соболины 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23.0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7.1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1.76</w:t>
            </w:r>
          </w:p>
        </w:tc>
      </w:tr>
      <w:tr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</w:t>
            </w: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Нивицы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21.0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1.99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-</w:t>
            </w:r>
          </w:p>
        </w:tc>
      </w:tr>
      <w:tr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3</w:t>
            </w: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Большое Малинское 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12,0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0.330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0.53</w:t>
            </w:r>
          </w:p>
        </w:tc>
      </w:tr>
      <w:tr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4</w:t>
            </w: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Мантурьево 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21,0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1,3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-</w:t>
            </w:r>
          </w:p>
        </w:tc>
      </w:tr>
      <w:tr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5</w:t>
            </w: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Село Пнево 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18,0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1.63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2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300" w:line="240" w:lineRule="auto"/>
              <w:ind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-</w:t>
            </w:r>
          </w:p>
        </w:tc>
      </w:tr>
    </w:tbl>
    <w:p w14:paraId="E8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E9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EA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EB00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tbl>
      <w:tblPr>
        <w:tblStyle w:val="Style_4"/>
        <w:tblBorders>
          <w:top w:color="DADADA" w:sz="6" w:val="single"/>
          <w:left w:color="DADADA" w:sz="6" w:val="single"/>
          <w:bottom w:color="DADADA" w:sz="6" w:val="single"/>
          <w:right w:color="DADADA" w:sz="6" w:val="single"/>
          <w:insideH w:color="000000" w:val="nil"/>
          <w:insideV w:color="000000" w:val="nil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150"/>
        <w:gridCol w:w="2111"/>
        <w:gridCol w:w="5276"/>
        <w:gridCol w:w="2301"/>
      </w:tblGrid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EC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bookmarkStart w:id="3" w:name="l88"/>
            <w:bookmarkEnd w:id="3"/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ED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в горячей (Г) и/или холодной (Х) воде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EE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EF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 существенного ухудшения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0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1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2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3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4838"/>
            <w:gridSpan w:val="4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4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Органолептические и обобщенные показатели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5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Цветность, град.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6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7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8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9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Мутность, мг/дм3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A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B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C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D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Запах, баллы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E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FF00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0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1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Привкус, баллы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2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3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4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5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Водородный показатель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6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7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6 - 9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8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5,0, более 10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9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минерализация (сухой остаток), мг/дм3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A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B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C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D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bookmarkStart w:id="4" w:name="l89"/>
            <w:bookmarkEnd w:id="4"/>
            <w:r>
              <w:rPr>
                <w:rFonts w:ascii="Times New Roman" w:hAnsi="Times New Roman"/>
                <w:sz w:val="24"/>
              </w:rPr>
              <w:t>Жесткость общая, мг-экв/л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E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0F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0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1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Окисляемость перманганатная, мг/л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2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3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4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5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 (поверхностно активные вещества), мг/л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6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7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8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9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Нефтепродукты, мг/л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A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B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C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</w:t>
            </w:r>
            <w:r>
              <w:rPr>
                <w:rFonts w:ascii="Times New Roman" w:hAnsi="Times New Roman"/>
                <w:sz w:val="24"/>
              </w:rPr>
              <w:t xml:space="preserve"> (10 ПДК)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D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Фенольный индекс, мг/л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E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1F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0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14838"/>
            <w:gridSpan w:val="4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1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вещества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2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 общ., мг/л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3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4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5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  <w:r>
              <w:rPr>
                <w:rFonts w:ascii="Times New Roman" w:hAnsi="Times New Roman"/>
                <w:sz w:val="24"/>
              </w:rPr>
              <w:t xml:space="preserve"> (10 ПДК)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6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Хлор остаточный свободный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7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8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9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  <w:r>
              <w:rPr>
                <w:rFonts w:ascii="Times New Roman" w:hAnsi="Times New Roman"/>
                <w:sz w:val="24"/>
              </w:rPr>
              <w:t xml:space="preserve"> (10 ПДК)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A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Хлор связанный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B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C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D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,0 (10 ПДК)</w:t>
            </w:r>
          </w:p>
        </w:tc>
      </w:tr>
      <w:tr>
        <w:tc>
          <w:tcPr>
            <w:tcW w:type="dxa" w:w="14838"/>
            <w:gridSpan w:val="4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E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Микробиологические и бактериологические показатели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2F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микробное число, число образующих колонии бактерий в 1 мл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0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1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2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3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Enterococcus faecalis, число бактерий в 1 мл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4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5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6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Присутствие в повторной пробе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7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колиформные бактерии, число бактерий в 100 мл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8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9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A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Присутствие в повторной пробе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B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Колифаги, число бляшкообразующих единиц (БОЕ) в 100 мл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C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D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E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Присутствие в повторной пробе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3F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Споры сульфитредуцирующих </w:t>
            </w:r>
            <w:bookmarkStart w:id="5" w:name="l93"/>
            <w:bookmarkEnd w:id="5"/>
            <w:r>
              <w:rPr>
                <w:rFonts w:ascii="Times New Roman" w:hAnsi="Times New Roman"/>
                <w:sz w:val="24"/>
              </w:rPr>
              <w:t>клостридий, число спор в 20 мл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0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1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2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Присутствие в повторной пробе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3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Цисты лямблий, число цист в 50 л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4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5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6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Присутствие в повторной пробе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7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Контагиозные инфекционные возбудители вирусного и бактериального происхождения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8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 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9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A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Присутствие в повторной пробе</w:t>
            </w:r>
          </w:p>
        </w:tc>
      </w:tr>
      <w:tr>
        <w:tc>
          <w:tcPr>
            <w:tcW w:type="dxa" w:w="5150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B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Legionella Pneumophila</w:t>
            </w:r>
          </w:p>
        </w:tc>
        <w:tc>
          <w:tcPr>
            <w:tcW w:type="dxa" w:w="211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C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type="dxa" w:w="5276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D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type="dxa" w:w="2301"/>
            <w:tcBorders>
              <w:top w:color="DADADA" w:sz="6" w:val="single"/>
              <w:left w:color="DADADA" w:sz="6" w:val="single"/>
              <w:bottom w:color="DADADA" w:sz="6" w:val="single"/>
              <w:right w:color="DADADA" w:sz="6" w:val="single"/>
            </w:tcBorders>
            <w:tcMar>
              <w:top w:type="dxa" w:w="67"/>
              <w:left w:type="dxa" w:w="134"/>
              <w:bottom w:type="dxa" w:w="67"/>
              <w:right w:type="dxa" w:w="134"/>
            </w:tcMar>
          </w:tcPr>
          <w:p w14:paraId="4E010000">
            <w:pPr>
              <w:spacing w:after="30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Присутствие в повторной пробе</w:t>
            </w:r>
          </w:p>
        </w:tc>
      </w:tr>
    </w:tbl>
    <w:p w14:paraId="4F010000">
      <w:pPr>
        <w:spacing w:after="300" w:line="240" w:lineRule="auto"/>
        <w:ind/>
        <w:rPr>
          <w:rFonts w:ascii="Times New Roman" w:hAnsi="Times New Roman"/>
          <w:color w:val="000000"/>
          <w:sz w:val="27"/>
        </w:rPr>
      </w:pPr>
    </w:p>
    <w:p w14:paraId="50010000"/>
    <w:p w14:paraId="51010000"/>
    <w:p w14:paraId="52010000"/>
    <w:p w14:paraId="53010000"/>
    <w:p w14:paraId="54010000"/>
    <w:p w14:paraId="55010000"/>
    <w:p w14:paraId="56010000"/>
    <w:sectPr>
      <w:pgSz w:h="11906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Normal (Web)"/>
    <w:basedOn w:val="Style_6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6_ch"/>
    <w:link w:val="Style_11"/>
    <w:rPr>
      <w:rFonts w:ascii="Times New Roman" w:hAnsi="Times New Roman"/>
      <w:sz w:val="24"/>
    </w:rPr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5" w:type="paragraph">
    <w:name w:val="formattext topleveltext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formattext topleveltext"/>
    <w:basedOn w:val="Style_6_ch"/>
    <w:link w:val="Style_5"/>
    <w:rPr>
      <w:rFonts w:ascii="Times New Roman" w:hAnsi="Times New Roman"/>
      <w:sz w:val="24"/>
    </w:rPr>
  </w:style>
  <w:style w:styleId="Style_13" w:type="paragraph">
    <w:name w:val="Balloon Text"/>
    <w:basedOn w:val="Style_6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2" w:type="paragraph">
    <w:name w:val="formattext topleveltext centertext"/>
    <w:basedOn w:val="Style_6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formattext topleveltext centertext"/>
    <w:basedOn w:val="Style_6_ch"/>
    <w:link w:val="Style_2"/>
    <w:rPr>
      <w:rFonts w:ascii="Times New Roman" w:hAnsi="Times New Roman"/>
      <w:sz w:val="24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23" w:type="paragraph">
    <w:name w:val="toc 8"/>
    <w:next w:val="Style_6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toc 5"/>
    <w:next w:val="Style_6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6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6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6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basedOn w:val="Style_6"/>
    <w:link w:val="Style_30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0_ch" w:type="character">
    <w:name w:val="heading 2"/>
    <w:basedOn w:val="Style_6_ch"/>
    <w:link w:val="Style_30"/>
    <w:rPr>
      <w:rFonts w:ascii="Times New Roman" w:hAnsi="Times New Roman"/>
      <w:b w:val="1"/>
      <w:sz w:val="3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2021-03-22T12:41:42Z</dcterms:modified>
</cp:coreProperties>
</file>