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widowControl w:val="0"/>
        <w:spacing w:after="0"/>
        <w:ind w:firstLine="0" w:left="0"/>
        <w:jc w:val="right"/>
        <w:outlineLvl w:val="0"/>
        <w:rPr>
          <w:b w:val="1"/>
          <w:sz w:val="28"/>
        </w:rPr>
      </w:pPr>
    </w:p>
    <w:p w14:paraId="02000000">
      <w:pPr>
        <w:widowControl w:val="0"/>
        <w:spacing w:after="0"/>
        <w:ind w:firstLine="0" w:left="0"/>
        <w:jc w:val="right"/>
        <w:outlineLvl w:val="0"/>
        <w:rPr>
          <w:b w:val="1"/>
          <w:sz w:val="36"/>
        </w:rPr>
      </w:pPr>
      <w:r>
        <w:rPr>
          <w:b w:val="1"/>
          <w:sz w:val="36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2856865</wp:posOffset>
            </wp:positionH>
            <wp:positionV relativeFrom="paragraph">
              <wp:posOffset>17780</wp:posOffset>
            </wp:positionV>
            <wp:extent cx="399415" cy="504190"/>
            <wp:wrapSquare distB="0" distL="0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-0.269%" l="-0.335%" r="-0.335%" t="-0.269%"/>
                    <a:stretch/>
                  </pic:blipFill>
                  <pic:spPr>
                    <a:xfrm rot="0">
                      <a:off x="0" y="0"/>
                      <a:ext cx="399415" cy="50419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/>
        <w:ind w:firstLine="0" w:left="0"/>
        <w:rPr>
          <w:b w:val="1"/>
          <w:sz w:val="36"/>
        </w:rPr>
      </w:pPr>
    </w:p>
    <w:p w14:paraId="04000000">
      <w:pPr>
        <w:spacing w:after="0"/>
        <w:ind w:firstLine="0" w:left="0"/>
        <w:jc w:val="center"/>
      </w:pPr>
      <w:r>
        <w:rPr>
          <w:rFonts w:ascii="Times New Roman" w:hAnsi="Times New Roman"/>
          <w:b w:val="1"/>
          <w:sz w:val="36"/>
        </w:rPr>
        <w:t>СОБРАНИЕ ДЕПУТАТОВ САНДОВСКОГО РАЙОНА</w:t>
      </w:r>
    </w:p>
    <w:p w14:paraId="05000000">
      <w:pPr>
        <w:spacing w:after="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6000000">
      <w:pPr>
        <w:spacing w:after="0"/>
        <w:ind w:firstLine="0" w:left="0"/>
        <w:jc w:val="center"/>
      </w:pPr>
      <w:r>
        <w:rPr>
          <w:rFonts w:ascii="Times New Roman" w:hAnsi="Times New Roman"/>
          <w:b w:val="1"/>
          <w:sz w:val="36"/>
        </w:rPr>
        <w:t>РЕШЕНИЕ</w:t>
      </w:r>
    </w:p>
    <w:p w14:paraId="07000000">
      <w:pPr>
        <w:ind/>
        <w:jc w:val="both"/>
      </w:pPr>
      <w:r>
        <w:rPr>
          <w:rFonts w:ascii="Times New Roman" w:hAnsi="Times New Roman"/>
          <w:sz w:val="28"/>
        </w:rPr>
        <w:t xml:space="preserve">18.02.2020                                         п. Сандово                                                  № </w:t>
      </w:r>
      <w:r>
        <w:rPr>
          <w:rFonts w:ascii="Times New Roman" w:hAnsi="Times New Roman"/>
          <w:sz w:val="28"/>
        </w:rPr>
        <w:t>9</w:t>
      </w:r>
      <w:r>
        <w:rPr>
          <w:sz w:val="28"/>
        </w:rPr>
        <w:t xml:space="preserve">     </w:t>
      </w:r>
      <w:r>
        <w:t xml:space="preserve"> </w:t>
      </w:r>
    </w:p>
    <w:p w14:paraId="08000000">
      <w:pPr>
        <w:ind/>
        <w:jc w:val="both"/>
        <w:rPr>
          <w:sz w:val="28"/>
        </w:rPr>
      </w:pPr>
    </w:p>
    <w:p w14:paraId="09000000">
      <w:pPr>
        <w:pStyle w:val="Style_1"/>
        <w:rPr>
          <w:rFonts w:ascii="Times New Roman" w:hAnsi="Times New Roman"/>
          <w:b w:val="0"/>
          <w:color w:val="000000"/>
          <w:spacing w:val="2"/>
          <w:sz w:val="24"/>
        </w:rPr>
      </w:pPr>
      <w:r>
        <w:rPr>
          <w:rFonts w:ascii="Times New Roman" w:hAnsi="Times New Roman"/>
          <w:b w:val="0"/>
          <w:color w:val="000000"/>
          <w:spacing w:val="2"/>
          <w:sz w:val="24"/>
        </w:rPr>
        <w:t xml:space="preserve">Об утверждении Порядка подготовки и </w:t>
      </w:r>
    </w:p>
    <w:p w14:paraId="0A000000">
      <w:pPr>
        <w:pStyle w:val="Style_1"/>
        <w:rPr>
          <w:rFonts w:ascii="Times New Roman" w:hAnsi="Times New Roman"/>
          <w:b w:val="0"/>
          <w:color w:val="000000"/>
          <w:spacing w:val="2"/>
          <w:sz w:val="24"/>
        </w:rPr>
      </w:pPr>
      <w:r>
        <w:rPr>
          <w:rFonts w:ascii="Times New Roman" w:hAnsi="Times New Roman"/>
          <w:b w:val="0"/>
          <w:color w:val="000000"/>
          <w:spacing w:val="2"/>
          <w:sz w:val="24"/>
        </w:rPr>
        <w:t xml:space="preserve">утверждения документации по планировке территории </w:t>
      </w:r>
    </w:p>
    <w:p w14:paraId="0B000000">
      <w:pPr>
        <w:pStyle w:val="Style_1"/>
        <w:rPr>
          <w:rFonts w:ascii="Times New Roman" w:hAnsi="Times New Roman"/>
          <w:b w:val="0"/>
          <w:color w:val="000000"/>
          <w:spacing w:val="2"/>
          <w:sz w:val="24"/>
        </w:rPr>
      </w:pPr>
    </w:p>
    <w:p w14:paraId="0C000000">
      <w:pPr>
        <w:pStyle w:val="Style_1"/>
        <w:rPr>
          <w:rFonts w:ascii="Times New Roman" w:hAnsi="Times New Roman"/>
          <w:color w:val="000000"/>
          <w:spacing w:val="2"/>
          <w:sz w:val="24"/>
        </w:rPr>
      </w:pPr>
    </w:p>
    <w:p w14:paraId="0D000000">
      <w:pPr>
        <w:pStyle w:val="Style_1"/>
        <w:ind w:firstLine="708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В целях обеспечения устойчивого развития территории </w:t>
      </w:r>
      <w:r>
        <w:rPr>
          <w:rFonts w:ascii="Times New Roman" w:hAnsi="Times New Roman"/>
          <w:color w:val="000000"/>
          <w:spacing w:val="2"/>
          <w:sz w:val="24"/>
        </w:rPr>
        <w:t>муниципального образования «Сандорвский район»</w:t>
      </w:r>
      <w:r>
        <w:rPr>
          <w:rFonts w:ascii="Times New Roman" w:hAnsi="Times New Roman"/>
          <w:color w:val="000000"/>
          <w:spacing w:val="2"/>
          <w:sz w:val="24"/>
        </w:rPr>
        <w:t xml:space="preserve"> Тверской области, выделения элементов планировоч</w:t>
      </w:r>
      <w:r>
        <w:rPr>
          <w:rFonts w:ascii="Times New Roman" w:hAnsi="Times New Roman"/>
          <w:color w:val="000000"/>
          <w:spacing w:val="2"/>
          <w:sz w:val="24"/>
        </w:rPr>
        <w:t>ной структуры (кварталов, микро</w:t>
      </w:r>
      <w:r>
        <w:rPr>
          <w:rFonts w:ascii="Times New Roman" w:hAnsi="Times New Roman"/>
          <w:color w:val="000000"/>
          <w:spacing w:val="2"/>
          <w:sz w:val="24"/>
        </w:rPr>
        <w:t>районов, иных элементов), установления границ зем</w:t>
      </w:r>
      <w:r>
        <w:rPr>
          <w:rFonts w:ascii="Times New Roman" w:hAnsi="Times New Roman"/>
          <w:color w:val="000000"/>
          <w:spacing w:val="2"/>
          <w:sz w:val="24"/>
        </w:rPr>
        <w:t>ельных участков, на которых рас</w:t>
      </w:r>
      <w:r>
        <w:rPr>
          <w:rFonts w:ascii="Times New Roman" w:hAnsi="Times New Roman"/>
          <w:color w:val="000000"/>
          <w:spacing w:val="2"/>
          <w:sz w:val="24"/>
        </w:rPr>
        <w:t>положены объекты капитального строительства, и раз</w:t>
      </w:r>
      <w:r>
        <w:rPr>
          <w:rFonts w:ascii="Times New Roman" w:hAnsi="Times New Roman"/>
          <w:color w:val="000000"/>
          <w:spacing w:val="2"/>
          <w:sz w:val="24"/>
        </w:rPr>
        <w:t>мещения линейных объектов, в со</w:t>
      </w:r>
      <w:r>
        <w:rPr>
          <w:rFonts w:ascii="Times New Roman" w:hAnsi="Times New Roman"/>
          <w:color w:val="000000"/>
          <w:spacing w:val="2"/>
          <w:sz w:val="24"/>
        </w:rPr>
        <w:t xml:space="preserve">ответствии с Градостроительным кодексом Российской Федерации и Уставом муниципального образования </w:t>
      </w:r>
      <w:r>
        <w:rPr>
          <w:rFonts w:ascii="Times New Roman" w:hAnsi="Times New Roman"/>
          <w:color w:val="000000"/>
          <w:spacing w:val="2"/>
          <w:sz w:val="24"/>
        </w:rPr>
        <w:t xml:space="preserve">«Сандовский </w:t>
      </w:r>
      <w:r>
        <w:rPr>
          <w:rFonts w:ascii="Times New Roman" w:hAnsi="Times New Roman"/>
          <w:color w:val="000000"/>
          <w:spacing w:val="2"/>
          <w:sz w:val="24"/>
        </w:rPr>
        <w:t xml:space="preserve"> район</w:t>
      </w:r>
      <w:r>
        <w:rPr>
          <w:rFonts w:ascii="Times New Roman" w:hAnsi="Times New Roman"/>
          <w:color w:val="000000"/>
          <w:spacing w:val="2"/>
          <w:sz w:val="24"/>
        </w:rPr>
        <w:t>»</w:t>
      </w:r>
      <w:r>
        <w:rPr>
          <w:rFonts w:ascii="Times New Roman" w:hAnsi="Times New Roman"/>
          <w:color w:val="000000"/>
          <w:spacing w:val="2"/>
          <w:sz w:val="24"/>
        </w:rPr>
        <w:t xml:space="preserve"> Тверской области</w:t>
      </w:r>
      <w:r>
        <w:rPr>
          <w:rFonts w:ascii="Times New Roman" w:hAnsi="Times New Roman"/>
          <w:color w:val="000000"/>
          <w:spacing w:val="2"/>
          <w:sz w:val="24"/>
        </w:rPr>
        <w:t>, Соглашениями о передаче ОМСУ Сандовского района части полномочий по решению вопросов местного значения органов местного самоуправления поселений, Собрание депутатов Сандовского района</w:t>
      </w:r>
    </w:p>
    <w:p w14:paraId="0E000000">
      <w:pPr>
        <w:pStyle w:val="Style_1"/>
        <w:ind/>
        <w:jc w:val="center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РЕШИЛ</w:t>
      </w:r>
      <w:r>
        <w:rPr>
          <w:rFonts w:ascii="Times New Roman" w:hAnsi="Times New Roman"/>
          <w:color w:val="000000"/>
          <w:spacing w:val="2"/>
          <w:sz w:val="24"/>
        </w:rPr>
        <w:t>О</w:t>
      </w:r>
      <w:r>
        <w:rPr>
          <w:rFonts w:ascii="Times New Roman" w:hAnsi="Times New Roman"/>
          <w:color w:val="000000"/>
          <w:spacing w:val="2"/>
          <w:sz w:val="24"/>
        </w:rPr>
        <w:t>:</w:t>
      </w:r>
    </w:p>
    <w:p w14:paraId="0F000000">
      <w:pPr>
        <w:pStyle w:val="Style_1"/>
        <w:ind/>
        <w:jc w:val="center"/>
        <w:rPr>
          <w:rFonts w:ascii="Times New Roman" w:hAnsi="Times New Roman"/>
          <w:color w:val="000000"/>
          <w:spacing w:val="2"/>
          <w:sz w:val="24"/>
        </w:rPr>
      </w:pPr>
    </w:p>
    <w:p w14:paraId="1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     1. Утвердить Порядок подготовки и утверждения документации по планировке территории </w:t>
      </w:r>
      <w:r>
        <w:rPr>
          <w:rFonts w:ascii="Times New Roman" w:hAnsi="Times New Roman"/>
          <w:color w:val="000000"/>
          <w:spacing w:val="2"/>
          <w:sz w:val="24"/>
        </w:rPr>
        <w:t>Сандовского района</w:t>
      </w:r>
      <w:r>
        <w:rPr>
          <w:rFonts w:ascii="Times New Roman" w:hAnsi="Times New Roman"/>
          <w:color w:val="000000"/>
          <w:spacing w:val="2"/>
          <w:sz w:val="24"/>
        </w:rPr>
        <w:t xml:space="preserve"> Тверской области согласно приложению.</w:t>
      </w:r>
    </w:p>
    <w:p w14:paraId="1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     2. </w:t>
      </w:r>
      <w:r>
        <w:rPr>
          <w:rFonts w:ascii="Times New Roman" w:hAnsi="Times New Roman"/>
          <w:color w:val="000000"/>
          <w:sz w:val="24"/>
        </w:rPr>
        <w:t xml:space="preserve">Настоящее </w:t>
      </w:r>
      <w:r>
        <w:rPr>
          <w:rFonts w:ascii="Times New Roman" w:hAnsi="Times New Roman"/>
          <w:color w:val="000000"/>
          <w:sz w:val="24"/>
        </w:rPr>
        <w:t>решение</w:t>
      </w:r>
      <w:r>
        <w:rPr>
          <w:rFonts w:ascii="Times New Roman" w:hAnsi="Times New Roman"/>
          <w:color w:val="000000"/>
          <w:sz w:val="24"/>
        </w:rPr>
        <w:t xml:space="preserve"> вступает в силу со дня его </w:t>
      </w:r>
      <w:r>
        <w:rPr>
          <w:rFonts w:ascii="Times New Roman" w:hAnsi="Times New Roman"/>
          <w:color w:val="000000"/>
          <w:sz w:val="24"/>
        </w:rPr>
        <w:t xml:space="preserve">официального </w:t>
      </w:r>
      <w:r>
        <w:rPr>
          <w:rFonts w:ascii="Times New Roman" w:hAnsi="Times New Roman"/>
          <w:color w:val="000000"/>
          <w:sz w:val="24"/>
        </w:rPr>
        <w:t>опубликования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и подлежит размещению на официальном сайте администрации Сандовского района в сети "Интернет</w:t>
      </w:r>
      <w:r>
        <w:rPr>
          <w:rFonts w:ascii="Times New Roman" w:hAnsi="Times New Roman"/>
          <w:sz w:val="24"/>
        </w:rPr>
        <w:t>"</w:t>
      </w:r>
    </w:p>
    <w:p w14:paraId="12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3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4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Сандовского района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О.Н.Грязнов</w:t>
      </w:r>
    </w:p>
    <w:p w14:paraId="16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Собрания </w:t>
      </w:r>
    </w:p>
    <w:p w14:paraId="1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депутатов Сандовского района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О.В.Смирнова</w:t>
      </w:r>
    </w:p>
    <w:p w14:paraId="19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A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B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C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D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E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F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0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1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2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3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4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5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6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7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8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9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A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B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к решению </w:t>
      </w:r>
      <w:r>
        <w:rPr>
          <w:rFonts w:ascii="Times New Roman" w:hAnsi="Times New Roman"/>
          <w:sz w:val="24"/>
        </w:rPr>
        <w:t>Собрани</w:t>
      </w:r>
      <w:r>
        <w:rPr>
          <w:rFonts w:ascii="Times New Roman" w:hAnsi="Times New Roman"/>
          <w:sz w:val="24"/>
        </w:rPr>
        <w:t>я депутатов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Сандовского района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18.02.2020</w:t>
      </w:r>
      <w:r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9</w:t>
      </w:r>
    </w:p>
    <w:p w14:paraId="2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2D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Порядок подготовки и утверждения документации по планировке территории </w:t>
      </w:r>
      <w:r>
        <w:rPr>
          <w:rFonts w:ascii="Times New Roman" w:hAnsi="Times New Roman"/>
          <w:b w:val="1"/>
          <w:sz w:val="24"/>
        </w:rPr>
        <w:t xml:space="preserve">Сандовского района </w:t>
      </w:r>
      <w:r>
        <w:rPr>
          <w:rFonts w:ascii="Times New Roman" w:hAnsi="Times New Roman"/>
          <w:b w:val="1"/>
          <w:sz w:val="24"/>
        </w:rPr>
        <w:t xml:space="preserve"> Тверской области</w:t>
      </w:r>
    </w:p>
    <w:p w14:paraId="2E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</w:p>
    <w:p w14:paraId="2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со ст.ст. 45, 46 Градостроительного кодекса Российской Федерации с целью регулирования застройки территории </w:t>
      </w:r>
      <w:r>
        <w:rPr>
          <w:rFonts w:ascii="Times New Roman" w:hAnsi="Times New Roman"/>
          <w:sz w:val="24"/>
        </w:rPr>
        <w:t>Сандовского района</w:t>
      </w:r>
      <w:r>
        <w:rPr>
          <w:rFonts w:ascii="Times New Roman" w:hAnsi="Times New Roman"/>
          <w:sz w:val="24"/>
        </w:rPr>
        <w:t xml:space="preserve"> (далее – </w:t>
      </w:r>
      <w:r>
        <w:rPr>
          <w:rFonts w:ascii="Times New Roman" w:hAnsi="Times New Roman"/>
          <w:sz w:val="24"/>
        </w:rPr>
        <w:t>район</w:t>
      </w:r>
      <w:r>
        <w:rPr>
          <w:rFonts w:ascii="Times New Roman" w:hAnsi="Times New Roman"/>
          <w:sz w:val="24"/>
        </w:rPr>
        <w:t>) и применяется при принятии решений по подготовке и утверждению документации по план</w:t>
      </w:r>
      <w:r>
        <w:rPr>
          <w:rFonts w:ascii="Times New Roman" w:hAnsi="Times New Roman"/>
          <w:sz w:val="24"/>
        </w:rPr>
        <w:t>ировке территории, разрабатывае</w:t>
      </w:r>
      <w:r>
        <w:rPr>
          <w:rFonts w:ascii="Times New Roman" w:hAnsi="Times New Roman"/>
          <w:sz w:val="24"/>
        </w:rPr>
        <w:t xml:space="preserve">мой на основании постановлений Администрации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района Тверской области» (далее – документация).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2.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</w:t>
      </w:r>
      <w:r>
        <w:rPr>
          <w:rFonts w:ascii="Times New Roman" w:hAnsi="Times New Roman"/>
          <w:sz w:val="24"/>
        </w:rPr>
        <w:t>капитального строительства, гра</w:t>
      </w:r>
      <w:r>
        <w:rPr>
          <w:rFonts w:ascii="Times New Roman" w:hAnsi="Times New Roman"/>
          <w:sz w:val="24"/>
        </w:rPr>
        <w:t>ниц земельных участков, предназначенных для строительства и размещения линейных объектов в отношении застроенных или подлежащих застройке территорий.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3. Подготовка документации по планировке территории осуществляется на основа</w:t>
      </w:r>
      <w:r>
        <w:rPr>
          <w:rFonts w:ascii="Times New Roman" w:hAnsi="Times New Roman"/>
          <w:sz w:val="24"/>
        </w:rPr>
        <w:t>нии генерального плана поселений, входящих в состав Сандовского района</w:t>
      </w:r>
      <w:r>
        <w:rPr>
          <w:rFonts w:ascii="Times New Roman" w:hAnsi="Times New Roman"/>
          <w:sz w:val="24"/>
        </w:rPr>
        <w:t>, правил землепо</w:t>
      </w:r>
      <w:r>
        <w:rPr>
          <w:rFonts w:ascii="Times New Roman" w:hAnsi="Times New Roman"/>
          <w:sz w:val="24"/>
        </w:rPr>
        <w:t>льзования и застройки в соответ</w:t>
      </w:r>
      <w:r>
        <w:rPr>
          <w:rFonts w:ascii="Times New Roman" w:hAnsi="Times New Roman"/>
          <w:sz w:val="24"/>
        </w:rPr>
        <w:t>ствии с требованиями технических регламентов, градостроительных регламентов и с учетом границ территорий объектов культурного насл</w:t>
      </w:r>
      <w:r>
        <w:rPr>
          <w:rFonts w:ascii="Times New Roman" w:hAnsi="Times New Roman"/>
          <w:sz w:val="24"/>
        </w:rPr>
        <w:t>едия, границ зон с особыми усло</w:t>
      </w:r>
      <w:r>
        <w:rPr>
          <w:rFonts w:ascii="Times New Roman" w:hAnsi="Times New Roman"/>
          <w:sz w:val="24"/>
        </w:rPr>
        <w:t>виями использования территорий.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4. При подготовке документации по планировке территории в обязательном порядке учитываются нормативы градостроительного проектирования, в том числе нормативные требования строительства объектов социальной инфраструктуры, а также нагрузка на сети инженерных коммуникаций, находящихся на разрабатываемой территории.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5. Настоящий порядок не применяется в случае подготовки градост</w:t>
      </w:r>
      <w:r>
        <w:rPr>
          <w:rFonts w:ascii="Times New Roman" w:hAnsi="Times New Roman"/>
          <w:sz w:val="24"/>
        </w:rPr>
        <w:t>роительного пла</w:t>
      </w:r>
      <w:r>
        <w:rPr>
          <w:rFonts w:ascii="Times New Roman" w:hAnsi="Times New Roman"/>
          <w:sz w:val="24"/>
        </w:rPr>
        <w:t>на земельного участка в виде отдельного документа п</w:t>
      </w:r>
      <w:r>
        <w:rPr>
          <w:rFonts w:ascii="Times New Roman" w:hAnsi="Times New Roman"/>
          <w:sz w:val="24"/>
        </w:rPr>
        <w:t>о заявлению физического или юри</w:t>
      </w:r>
      <w:r>
        <w:rPr>
          <w:rFonts w:ascii="Times New Roman" w:hAnsi="Times New Roman"/>
          <w:sz w:val="24"/>
        </w:rPr>
        <w:t>дического лица о выдаче градостроительного плана земельного участка.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6. Решение о подготовке документации по планировке территории принимается администрацией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района (далее – администрация) с учетом имеющейся градостроительной документац</w:t>
      </w:r>
      <w:r>
        <w:rPr>
          <w:rFonts w:ascii="Times New Roman" w:hAnsi="Times New Roman"/>
          <w:sz w:val="24"/>
        </w:rPr>
        <w:t>ии (документации территориально</w:t>
      </w:r>
      <w:r>
        <w:rPr>
          <w:rFonts w:ascii="Times New Roman" w:hAnsi="Times New Roman"/>
          <w:sz w:val="24"/>
        </w:rPr>
        <w:t>го планирования) на соответствующую территорию в следующих случаях:</w:t>
      </w:r>
    </w:p>
    <w:p w14:paraId="3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 инициативе органов местного самоуправления;</w:t>
      </w:r>
    </w:p>
    <w:p w14:paraId="3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 основании предложений физических и юриди</w:t>
      </w:r>
      <w:r>
        <w:rPr>
          <w:rFonts w:ascii="Times New Roman" w:hAnsi="Times New Roman"/>
          <w:sz w:val="24"/>
        </w:rPr>
        <w:t>ческих лиц о подготовке докумен</w:t>
      </w:r>
      <w:r>
        <w:rPr>
          <w:rFonts w:ascii="Times New Roman" w:hAnsi="Times New Roman"/>
          <w:sz w:val="24"/>
        </w:rPr>
        <w:t>тации по планировке территории (далее – инициаторы подготовки документации).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7. Постановление о подготовке документации подлежит опублик</w:t>
      </w:r>
      <w:r>
        <w:rPr>
          <w:rFonts w:ascii="Times New Roman" w:hAnsi="Times New Roman"/>
          <w:sz w:val="24"/>
        </w:rPr>
        <w:t>ованию в порядке, установ</w:t>
      </w:r>
      <w:r>
        <w:rPr>
          <w:rFonts w:ascii="Times New Roman" w:hAnsi="Times New Roman"/>
          <w:sz w:val="24"/>
        </w:rPr>
        <w:t>ленном для официального опубликования муниципальных правовых актов, - в течение трёх дней со дня принятия такого решения.</w:t>
      </w:r>
    </w:p>
    <w:p w14:paraId="3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Со дня опубликования постановления о подготовке д</w:t>
      </w:r>
      <w:r>
        <w:rPr>
          <w:rFonts w:ascii="Times New Roman" w:hAnsi="Times New Roman"/>
          <w:sz w:val="24"/>
        </w:rPr>
        <w:t>окументации по планировке терри</w:t>
      </w:r>
      <w:r>
        <w:rPr>
          <w:rFonts w:ascii="Times New Roman" w:hAnsi="Times New Roman"/>
          <w:sz w:val="24"/>
        </w:rPr>
        <w:t>тории поселения физические, юридические лица вправе представить в администрацию района свои предложения о порядке, сроках подготовки и содержания документации по планировке территории.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9. В течение трех календарных дней по истечении срока подготовки документации по планировке территории разработчик документации по</w:t>
      </w:r>
      <w:r>
        <w:rPr>
          <w:rFonts w:ascii="Times New Roman" w:hAnsi="Times New Roman"/>
          <w:sz w:val="24"/>
        </w:rPr>
        <w:t xml:space="preserve"> планировке территории направля</w:t>
      </w:r>
      <w:r>
        <w:rPr>
          <w:rFonts w:ascii="Times New Roman" w:hAnsi="Times New Roman"/>
          <w:sz w:val="24"/>
        </w:rPr>
        <w:t xml:space="preserve">ет документацию в администрацию </w:t>
      </w:r>
      <w:r>
        <w:rPr>
          <w:rFonts w:ascii="Times New Roman" w:hAnsi="Times New Roman"/>
          <w:sz w:val="24"/>
        </w:rPr>
        <w:t>района</w:t>
      </w:r>
      <w:r>
        <w:rPr>
          <w:rFonts w:ascii="Times New Roman" w:hAnsi="Times New Roman"/>
          <w:sz w:val="24"/>
        </w:rPr>
        <w:t>.</w:t>
      </w:r>
    </w:p>
    <w:p w14:paraId="33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Администрация </w:t>
      </w:r>
      <w:r>
        <w:rPr>
          <w:rFonts w:ascii="Times New Roman" w:hAnsi="Times New Roman"/>
          <w:sz w:val="24"/>
        </w:rPr>
        <w:t xml:space="preserve">района </w:t>
      </w:r>
      <w:r>
        <w:rPr>
          <w:rFonts w:ascii="Times New Roman" w:hAnsi="Times New Roman"/>
          <w:sz w:val="24"/>
        </w:rPr>
        <w:t xml:space="preserve">осуществляет проверку документации по планировке территории на соответствие требованиям генерального плана, правил </w:t>
      </w:r>
      <w:r>
        <w:rPr>
          <w:rFonts w:ascii="Times New Roman" w:hAnsi="Times New Roman"/>
          <w:sz w:val="24"/>
        </w:rPr>
        <w:t>землепользова</w:t>
      </w:r>
      <w:r>
        <w:rPr>
          <w:rFonts w:ascii="Times New Roman" w:hAnsi="Times New Roman"/>
          <w:sz w:val="24"/>
        </w:rPr>
        <w:t>ния и застройки, технических регламентов, градостроительных регламентов с учетом границ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</w:t>
      </w:r>
      <w:r>
        <w:rPr>
          <w:rFonts w:ascii="Times New Roman" w:hAnsi="Times New Roman"/>
          <w:sz w:val="24"/>
        </w:rPr>
        <w:t>ектов культурного наследия, гра</w:t>
      </w:r>
      <w:r>
        <w:rPr>
          <w:rFonts w:ascii="Times New Roman" w:hAnsi="Times New Roman"/>
          <w:sz w:val="24"/>
        </w:rPr>
        <w:t>ниц зон с особыми условиями использования территорий.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11. Срок рассмотрения документации по планир</w:t>
      </w:r>
      <w:r>
        <w:rPr>
          <w:rFonts w:ascii="Times New Roman" w:hAnsi="Times New Roman"/>
          <w:sz w:val="24"/>
        </w:rPr>
        <w:t>овке территории с момента посту</w:t>
      </w:r>
      <w:r>
        <w:rPr>
          <w:rFonts w:ascii="Times New Roman" w:hAnsi="Times New Roman"/>
          <w:sz w:val="24"/>
        </w:rPr>
        <w:t>пления до подготовки заключения составляет не более 30 календарных дней.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12. По результатам проверки администрация пос</w:t>
      </w:r>
      <w:r>
        <w:rPr>
          <w:rFonts w:ascii="Times New Roman" w:hAnsi="Times New Roman"/>
          <w:sz w:val="24"/>
        </w:rPr>
        <w:t>еления в течение 7 дней принима</w:t>
      </w:r>
      <w:r>
        <w:rPr>
          <w:rFonts w:ascii="Times New Roman" w:hAnsi="Times New Roman"/>
          <w:sz w:val="24"/>
        </w:rPr>
        <w:t xml:space="preserve">ет решение о соответствии подготовленной документации по планировке территории требованиям, указанным в пункте 10 настоящего Порядка, необходимости проведения публичных слушаний по проекту планировки территории и направлении документации по планировке территории </w:t>
      </w:r>
      <w:r>
        <w:rPr>
          <w:rFonts w:ascii="Times New Roman" w:hAnsi="Times New Roman"/>
          <w:sz w:val="24"/>
        </w:rPr>
        <w:t>Главе Сандовского района</w:t>
      </w:r>
      <w:r>
        <w:rPr>
          <w:rFonts w:ascii="Times New Roman" w:hAnsi="Times New Roman"/>
          <w:sz w:val="24"/>
        </w:rPr>
        <w:t xml:space="preserve"> или об отклонении такой документации и о направлении её на доработку.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13. Глава </w:t>
      </w:r>
      <w:r>
        <w:rPr>
          <w:rFonts w:ascii="Times New Roman" w:hAnsi="Times New Roman"/>
          <w:sz w:val="24"/>
        </w:rPr>
        <w:t>Сандовского района</w:t>
      </w:r>
      <w:r>
        <w:rPr>
          <w:rFonts w:ascii="Times New Roman" w:hAnsi="Times New Roman"/>
          <w:sz w:val="24"/>
        </w:rPr>
        <w:t xml:space="preserve"> в течение 10 дней со дня по</w:t>
      </w:r>
      <w:r>
        <w:rPr>
          <w:rFonts w:ascii="Times New Roman" w:hAnsi="Times New Roman"/>
          <w:sz w:val="24"/>
        </w:rPr>
        <w:t>лучения докумен</w:t>
      </w:r>
      <w:r>
        <w:rPr>
          <w:rFonts w:ascii="Times New Roman" w:hAnsi="Times New Roman"/>
          <w:sz w:val="24"/>
        </w:rPr>
        <w:t xml:space="preserve">тации по планировке территории обращается в </w:t>
      </w:r>
      <w:r>
        <w:rPr>
          <w:rFonts w:ascii="Times New Roman" w:hAnsi="Times New Roman"/>
          <w:sz w:val="24"/>
        </w:rPr>
        <w:t xml:space="preserve">Собрание депутатов Сандовского района </w:t>
      </w:r>
      <w:r>
        <w:rPr>
          <w:rFonts w:ascii="Times New Roman" w:hAnsi="Times New Roman"/>
          <w:sz w:val="24"/>
        </w:rPr>
        <w:t xml:space="preserve">с заявлением о назначении публичных слушаний по проекту планировки и проекту межевания территории в соответствии с Уставом </w:t>
      </w:r>
      <w:r>
        <w:rPr>
          <w:rFonts w:ascii="Times New Roman" w:hAnsi="Times New Roman"/>
          <w:sz w:val="24"/>
        </w:rPr>
        <w:t>района</w:t>
      </w:r>
      <w:r>
        <w:rPr>
          <w:rFonts w:ascii="Times New Roman" w:hAnsi="Times New Roman"/>
          <w:sz w:val="24"/>
        </w:rPr>
        <w:t xml:space="preserve"> и нормативными правовыми актами представительного органа муниципального образования.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14.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</w:t>
      </w:r>
      <w:r>
        <w:rPr>
          <w:rFonts w:ascii="Times New Roman" w:hAnsi="Times New Roman"/>
          <w:sz w:val="24"/>
        </w:rPr>
        <w:t>едставительного органа муниципального образования.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15. Срок проведения публичных слушаний со дн</w:t>
      </w:r>
      <w:r>
        <w:rPr>
          <w:rFonts w:ascii="Times New Roman" w:hAnsi="Times New Roman"/>
          <w:sz w:val="24"/>
        </w:rPr>
        <w:t>я оповещения жителей муниципаль</w:t>
      </w:r>
      <w:r>
        <w:rPr>
          <w:rFonts w:ascii="Times New Roman" w:hAnsi="Times New Roman"/>
          <w:sz w:val="24"/>
        </w:rPr>
        <w:t>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</w:t>
      </w:r>
      <w:r>
        <w:rPr>
          <w:rFonts w:ascii="Times New Roman" w:hAnsi="Times New Roman"/>
          <w:sz w:val="24"/>
        </w:rPr>
        <w:t>льного органа муниципального об</w:t>
      </w:r>
      <w:r>
        <w:rPr>
          <w:rFonts w:ascii="Times New Roman" w:hAnsi="Times New Roman"/>
          <w:sz w:val="24"/>
        </w:rPr>
        <w:t>разования и не может быть менее одного месяца и более трех месяцев.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16. На публичные слушания выносятся проекты планировки территории и могут </w:t>
      </w: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z w:val="24"/>
        </w:rPr>
        <w:t>носиться проекты межевания территории, подготовленные в составе документации по планировке территории, в том числе: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1) основная часть проекта планировки территори</w:t>
      </w:r>
      <w:r>
        <w:rPr>
          <w:rFonts w:ascii="Times New Roman" w:hAnsi="Times New Roman"/>
          <w:sz w:val="24"/>
        </w:rPr>
        <w:t>и включает в себя чертежи плани</w:t>
      </w:r>
      <w:r>
        <w:rPr>
          <w:rFonts w:ascii="Times New Roman" w:hAnsi="Times New Roman"/>
          <w:sz w:val="24"/>
        </w:rPr>
        <w:t>ровки территории и положения в текстовой форме.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состав чертежей основной (утверждаемой) части проекта планировки территории включаются: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план архитектурно-планировочной организации территории;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разбивочный чертеж красных линий;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чертеж организации транспорта и сетей дорог и улиц;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чертеж размещения инженерных сетей и сооружений;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чертежи фасадов зданий и сооружений.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Положения в текстовой форме включают полож</w:t>
      </w:r>
      <w:r>
        <w:rPr>
          <w:rFonts w:ascii="Times New Roman" w:hAnsi="Times New Roman"/>
          <w:sz w:val="24"/>
        </w:rPr>
        <w:t>ения о размещении объектов капи</w:t>
      </w:r>
      <w:r>
        <w:rPr>
          <w:rFonts w:ascii="Times New Roman" w:hAnsi="Times New Roman"/>
          <w:sz w:val="24"/>
        </w:rPr>
        <w:t xml:space="preserve">тального строительства федерального, регионального или местного значения, а также о характеристиках планируемого развития территории </w:t>
      </w:r>
      <w:r>
        <w:rPr>
          <w:rFonts w:ascii="Times New Roman" w:hAnsi="Times New Roman"/>
          <w:sz w:val="24"/>
        </w:rPr>
        <w:t>(включая территории общего поль</w:t>
      </w:r>
      <w:r>
        <w:rPr>
          <w:rFonts w:ascii="Times New Roman" w:hAnsi="Times New Roman"/>
          <w:sz w:val="24"/>
        </w:rPr>
        <w:t>зования), в том числе плотности и параметрах застройки территории, параметрах улиц, проездов, пешеходных зон, объектов транспортной ин</w:t>
      </w:r>
      <w:r>
        <w:rPr>
          <w:rFonts w:ascii="Times New Roman" w:hAnsi="Times New Roman"/>
          <w:sz w:val="24"/>
        </w:rPr>
        <w:t>фраструктуры (включая места хра</w:t>
      </w:r>
      <w:r>
        <w:rPr>
          <w:rFonts w:ascii="Times New Roman" w:hAnsi="Times New Roman"/>
          <w:sz w:val="24"/>
        </w:rPr>
        <w:t>нения автотранспорта), характеристиках развития систем социального, транспортного обслуживания и инженерно-технического обеспечения</w:t>
      </w:r>
      <w:r>
        <w:rPr>
          <w:rFonts w:ascii="Times New Roman" w:hAnsi="Times New Roman"/>
          <w:sz w:val="24"/>
        </w:rPr>
        <w:t>, необходимых для развития терр</w:t>
      </w:r>
      <w:r>
        <w:rPr>
          <w:rFonts w:ascii="Times New Roman" w:hAnsi="Times New Roman"/>
          <w:sz w:val="24"/>
        </w:rPr>
        <w:t>итории, положения о защите территорий от воздействия чрезвычайных ситуаций природного и техногенного характера и мероприятий по гражданской обороне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2) проект межевания территории включает в себя чертежи межевания территории, на которых отображаются: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красные линии, утвержденные в составе проекта планировки территории;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линии отступа от красных линий в целях определения места допустимого размещения зданий, строений, сооружений;</w:t>
      </w:r>
    </w:p>
    <w:p w14:paraId="3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границы застроенных земельных участков, в то</w:t>
      </w:r>
      <w:r>
        <w:rPr>
          <w:rFonts w:ascii="Times New Roman" w:hAnsi="Times New Roman"/>
          <w:sz w:val="24"/>
        </w:rPr>
        <w:t>м числе границы земельных участ</w:t>
      </w:r>
      <w:r>
        <w:rPr>
          <w:rFonts w:ascii="Times New Roman" w:hAnsi="Times New Roman"/>
          <w:sz w:val="24"/>
        </w:rPr>
        <w:t>ков, на которых расположены линейные объекты;</w:t>
      </w:r>
    </w:p>
    <w:p w14:paraId="3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границы формируемых земельных участков, пл</w:t>
      </w:r>
      <w:r>
        <w:rPr>
          <w:rFonts w:ascii="Times New Roman" w:hAnsi="Times New Roman"/>
          <w:sz w:val="24"/>
        </w:rPr>
        <w:t>анируемых для предоставления фи</w:t>
      </w:r>
      <w:r>
        <w:rPr>
          <w:rFonts w:ascii="Times New Roman" w:hAnsi="Times New Roman"/>
          <w:sz w:val="24"/>
        </w:rPr>
        <w:t>зическим и юридическим лицам для строительства;</w:t>
      </w:r>
    </w:p>
    <w:p w14:paraId="3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границы земельных участков, предназначенн</w:t>
      </w:r>
      <w:r>
        <w:rPr>
          <w:rFonts w:ascii="Times New Roman" w:hAnsi="Times New Roman"/>
          <w:sz w:val="24"/>
        </w:rPr>
        <w:t>ых для размещения объектов капи</w:t>
      </w:r>
      <w:r>
        <w:rPr>
          <w:rFonts w:ascii="Times New Roman" w:hAnsi="Times New Roman"/>
          <w:sz w:val="24"/>
        </w:rPr>
        <w:t>тального строительства федерального, регионального или местного значения;</w:t>
      </w:r>
    </w:p>
    <w:p w14:paraId="3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границы территорий объектов культурного наследия;</w:t>
      </w:r>
    </w:p>
    <w:p w14:paraId="3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границы зон с особыми условиями использования территорий;</w:t>
      </w:r>
    </w:p>
    <w:p w14:paraId="3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границы зон действия публичных сервитутов.</w:t>
      </w:r>
    </w:p>
    <w:p w14:paraId="3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Публичные слушания по проекту планировки территории и проекту межевания территории проводятся с участием граждан, прожива</w:t>
      </w:r>
      <w:r>
        <w:rPr>
          <w:rFonts w:ascii="Times New Roman" w:hAnsi="Times New Roman"/>
          <w:sz w:val="24"/>
        </w:rPr>
        <w:t>ющих на территории, применитель</w:t>
      </w:r>
      <w:r>
        <w:rPr>
          <w:rFonts w:ascii="Times New Roman" w:hAnsi="Times New Roman"/>
          <w:sz w:val="24"/>
        </w:rPr>
        <w:t>но к которой осуществляется подготовка проекта её планировки и проекта её межевания, правообладателей земельных участков и объектов ка</w:t>
      </w:r>
      <w:r>
        <w:rPr>
          <w:rFonts w:ascii="Times New Roman" w:hAnsi="Times New Roman"/>
          <w:sz w:val="24"/>
        </w:rPr>
        <w:t>питального строительства, распо</w:t>
      </w:r>
      <w:r>
        <w:rPr>
          <w:rFonts w:ascii="Times New Roman" w:hAnsi="Times New Roman"/>
          <w:sz w:val="24"/>
        </w:rPr>
        <w:t>ложенных на указанной территории, лиц, законные и</w:t>
      </w:r>
      <w:r>
        <w:rPr>
          <w:rFonts w:ascii="Times New Roman" w:hAnsi="Times New Roman"/>
          <w:sz w:val="24"/>
        </w:rPr>
        <w:t>нтересы которых могут быть нару</w:t>
      </w:r>
      <w:r>
        <w:rPr>
          <w:rFonts w:ascii="Times New Roman" w:hAnsi="Times New Roman"/>
          <w:sz w:val="24"/>
        </w:rPr>
        <w:t>шены в связи с реализацией таких проектов.</w:t>
      </w:r>
    </w:p>
    <w:p w14:paraId="3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Участники публичных слушаний по проекту пла</w:t>
      </w:r>
      <w:r>
        <w:rPr>
          <w:rFonts w:ascii="Times New Roman" w:hAnsi="Times New Roman"/>
          <w:sz w:val="24"/>
        </w:rPr>
        <w:t>нировки территории и проекту ме</w:t>
      </w:r>
      <w:r>
        <w:rPr>
          <w:rFonts w:ascii="Times New Roman" w:hAnsi="Times New Roman"/>
          <w:sz w:val="24"/>
        </w:rPr>
        <w:t>жевания территории вправе представить в администрацию свои предложения и замечания, касающиеся проекта планировки территории и (или) проекта межевания территории, для включения их в протокол публичных слушаний.</w:t>
      </w:r>
    </w:p>
    <w:p w14:paraId="3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Заключение о результатах публичных слушани</w:t>
      </w:r>
      <w:r>
        <w:rPr>
          <w:rFonts w:ascii="Times New Roman" w:hAnsi="Times New Roman"/>
          <w:sz w:val="24"/>
        </w:rPr>
        <w:t>й по проекту планировки террито</w:t>
      </w:r>
      <w:r>
        <w:rPr>
          <w:rFonts w:ascii="Times New Roman" w:hAnsi="Times New Roman"/>
          <w:sz w:val="24"/>
        </w:rPr>
        <w:t>рии и проекту межевания территории подлежит опуб</w:t>
      </w:r>
      <w:r>
        <w:rPr>
          <w:rFonts w:ascii="Times New Roman" w:hAnsi="Times New Roman"/>
          <w:sz w:val="24"/>
        </w:rPr>
        <w:t>ликованию в порядке, установлен</w:t>
      </w:r>
      <w:r>
        <w:rPr>
          <w:rFonts w:ascii="Times New Roman" w:hAnsi="Times New Roman"/>
          <w:sz w:val="24"/>
        </w:rPr>
        <w:t>ном Уставом района, и размещается на официальном сайте администрации.</w:t>
      </w:r>
    </w:p>
    <w:p w14:paraId="3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По окончании публичных слушаний админис</w:t>
      </w:r>
      <w:r>
        <w:rPr>
          <w:rFonts w:ascii="Times New Roman" w:hAnsi="Times New Roman"/>
          <w:sz w:val="24"/>
        </w:rPr>
        <w:t>трация не позднее чем через пят</w:t>
      </w:r>
      <w:r>
        <w:rPr>
          <w:rFonts w:ascii="Times New Roman" w:hAnsi="Times New Roman"/>
          <w:sz w:val="24"/>
        </w:rPr>
        <w:t xml:space="preserve">надцать дней со дня проведения публичных слушаний направляет Главе Сандовского </w:t>
      </w:r>
      <w:r>
        <w:rPr>
          <w:rFonts w:ascii="Times New Roman" w:hAnsi="Times New Roman"/>
          <w:sz w:val="24"/>
        </w:rPr>
        <w:t>района под</w:t>
      </w:r>
      <w:r>
        <w:rPr>
          <w:rFonts w:ascii="Times New Roman" w:hAnsi="Times New Roman"/>
          <w:sz w:val="24"/>
        </w:rPr>
        <w:t>готовленную документацию по планировке территории, протокол публичных слушаний по проекту планировки территории и проекту межеван</w:t>
      </w:r>
      <w:r>
        <w:rPr>
          <w:rFonts w:ascii="Times New Roman" w:hAnsi="Times New Roman"/>
          <w:sz w:val="24"/>
        </w:rPr>
        <w:t>ия территории и заключение о ре</w:t>
      </w:r>
      <w:r>
        <w:rPr>
          <w:rFonts w:ascii="Times New Roman" w:hAnsi="Times New Roman"/>
          <w:sz w:val="24"/>
        </w:rPr>
        <w:t>зультатах публичных слушаний.</w:t>
      </w:r>
    </w:p>
    <w:p w14:paraId="3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Глава Сандовского района в течение десяти дней с момента поступления документации по планировке территории с учетом протокола публичных слуш</w:t>
      </w:r>
      <w:r>
        <w:rPr>
          <w:rFonts w:ascii="Times New Roman" w:hAnsi="Times New Roman"/>
          <w:sz w:val="24"/>
        </w:rPr>
        <w:t>аний по проекту планиров</w:t>
      </w:r>
      <w:r>
        <w:rPr>
          <w:rFonts w:ascii="Times New Roman" w:hAnsi="Times New Roman"/>
          <w:sz w:val="24"/>
        </w:rPr>
        <w:t>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в уполномоченный орган на доработку с учетом протокола публичных слушаний и заключения.</w:t>
      </w:r>
    </w:p>
    <w:p w14:paraId="3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Утвержденная документация по планировке</w:t>
      </w:r>
      <w:r>
        <w:rPr>
          <w:rFonts w:ascii="Times New Roman" w:hAnsi="Times New Roman"/>
          <w:sz w:val="24"/>
        </w:rPr>
        <w:t xml:space="preserve"> территории подлежит опубликова</w:t>
      </w:r>
      <w:r>
        <w:rPr>
          <w:rFonts w:ascii="Times New Roman" w:hAnsi="Times New Roman"/>
          <w:sz w:val="24"/>
        </w:rPr>
        <w:t xml:space="preserve">нию в порядке, установленном Уставом района, в </w:t>
      </w:r>
      <w:r>
        <w:rPr>
          <w:rFonts w:ascii="Times New Roman" w:hAnsi="Times New Roman"/>
          <w:sz w:val="24"/>
        </w:rPr>
        <w:t>течение семи дней со дня утверж</w:t>
      </w:r>
      <w:r>
        <w:rPr>
          <w:rFonts w:ascii="Times New Roman" w:hAnsi="Times New Roman"/>
          <w:sz w:val="24"/>
        </w:rPr>
        <w:t>дения указанной документации и размещается на официальном сайте администрации в сети Интернет.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23. На основании документации по планировке территории, утвержденной Главой Сандовского </w:t>
      </w:r>
      <w:r>
        <w:rPr>
          <w:rFonts w:ascii="Times New Roman" w:hAnsi="Times New Roman"/>
          <w:sz w:val="24"/>
        </w:rPr>
        <w:t>района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Собрание депутатов Сандовского района</w:t>
      </w:r>
      <w:r>
        <w:rPr>
          <w:rFonts w:ascii="Times New Roman" w:hAnsi="Times New Roman"/>
          <w:sz w:val="24"/>
        </w:rPr>
        <w:t xml:space="preserve"> вправе вносить изменения в правила землепользования и застройки в части уточнения установленных градос</w:t>
      </w:r>
      <w:r>
        <w:rPr>
          <w:rFonts w:ascii="Times New Roman" w:hAnsi="Times New Roman"/>
          <w:sz w:val="24"/>
        </w:rPr>
        <w:t>троительных регламентов предель</w:t>
      </w:r>
      <w:r>
        <w:rPr>
          <w:rFonts w:ascii="Times New Roman" w:hAnsi="Times New Roman"/>
          <w:sz w:val="24"/>
        </w:rPr>
        <w:t>ных параметров разрешенного строительства и реконструкции объектов капитального строительства.</w:t>
      </w:r>
    </w:p>
    <w:p w14:paraId="4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Внесение изменений в утвержденную документацию по планировке территории осуществляется в порядке, установленном ст. 46</w:t>
      </w:r>
      <w:r>
        <w:rPr>
          <w:rFonts w:ascii="Times New Roman" w:hAnsi="Times New Roman"/>
          <w:sz w:val="24"/>
        </w:rPr>
        <w:t xml:space="preserve"> Градостроительного кодекса Рос</w:t>
      </w:r>
      <w:r>
        <w:rPr>
          <w:rFonts w:ascii="Times New Roman" w:hAnsi="Times New Roman"/>
          <w:sz w:val="24"/>
        </w:rPr>
        <w:t>сийской Федерации, настоящим Порядком и нормативными правовыми актами органов местного самоуправления.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25. Основанием для внесения изменений в док</w:t>
      </w:r>
      <w:r>
        <w:rPr>
          <w:rFonts w:ascii="Times New Roman" w:hAnsi="Times New Roman"/>
          <w:sz w:val="24"/>
        </w:rPr>
        <w:t>ументацию по планировке террито</w:t>
      </w:r>
      <w:r>
        <w:rPr>
          <w:rFonts w:ascii="Times New Roman" w:hAnsi="Times New Roman"/>
          <w:sz w:val="24"/>
        </w:rPr>
        <w:t>рии является изменение требований генерального плана, правил землепользования и застройки, технических регламентов, градостроительных регламентов с учетом границ объектов культурного наследия, включенных в Един</w:t>
      </w:r>
      <w:r>
        <w:rPr>
          <w:rFonts w:ascii="Times New Roman" w:hAnsi="Times New Roman"/>
          <w:sz w:val="24"/>
        </w:rPr>
        <w:t>ый государственный реестр объек</w:t>
      </w:r>
      <w:r>
        <w:rPr>
          <w:rFonts w:ascii="Times New Roman" w:hAnsi="Times New Roman"/>
          <w:sz w:val="24"/>
        </w:rPr>
        <w:t>тов культурного наследия (памятников истории и куль</w:t>
      </w:r>
      <w:r>
        <w:rPr>
          <w:rFonts w:ascii="Times New Roman" w:hAnsi="Times New Roman"/>
          <w:sz w:val="24"/>
        </w:rPr>
        <w:t>туры) народов Российской Федера</w:t>
      </w:r>
      <w:r>
        <w:rPr>
          <w:rFonts w:ascii="Times New Roman" w:hAnsi="Times New Roman"/>
          <w:sz w:val="24"/>
        </w:rPr>
        <w:t>ции, границ территорий вновь выявленных объектов культурного наследия, границ зон с особыми условиями использования территорий, иных регламентов.</w:t>
      </w:r>
    </w:p>
    <w:p w14:paraId="4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В соответствии с частью 17 статьи 45 Градостроительного кодекса Российской Федерации физические и юридические лица вправе</w:t>
      </w:r>
      <w:r>
        <w:rPr>
          <w:rFonts w:ascii="Times New Roman" w:hAnsi="Times New Roman"/>
          <w:sz w:val="24"/>
        </w:rPr>
        <w:t xml:space="preserve"> оспорить в судебном порядке до</w:t>
      </w:r>
      <w:r>
        <w:rPr>
          <w:rFonts w:ascii="Times New Roman" w:hAnsi="Times New Roman"/>
          <w:sz w:val="24"/>
        </w:rPr>
        <w:t>кументацию по планировке территории.</w:t>
      </w:r>
    </w:p>
    <w:p w14:paraId="42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43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44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4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Сандовского района                                                   О.Н.Грязнов</w:t>
      </w:r>
    </w:p>
    <w:sectPr>
      <w:pgSz w:h="16838" w:w="11906"/>
      <w:pgMar w:bottom="449" w:footer="720" w:gutter="0" w:header="720" w:left="1155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3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4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5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8Num1z3"/>
    <w:link w:val="Style_3_ch"/>
  </w:style>
  <w:style w:styleId="Style_3_ch" w:type="character">
    <w:name w:val="WW8Num1z3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WW8Num1z1"/>
    <w:link w:val="Style_5_ch"/>
  </w:style>
  <w:style w:styleId="Style_5_ch" w:type="character">
    <w:name w:val="WW8Num1z1"/>
    <w:link w:val="Style_5"/>
  </w:style>
  <w:style w:styleId="Style_6" w:type="paragraph">
    <w:name w:val="Название объекта1"/>
    <w:basedOn w:val="Style_2"/>
    <w:link w:val="Style_6_ch"/>
    <w:pPr>
      <w:spacing w:after="120" w:before="120"/>
      <w:ind/>
    </w:pPr>
    <w:rPr>
      <w:i w:val="1"/>
      <w:sz w:val="24"/>
    </w:rPr>
  </w:style>
  <w:style w:styleId="Style_6_ch" w:type="character">
    <w:name w:val="Название объекта1"/>
    <w:basedOn w:val="Style_2_ch"/>
    <w:link w:val="Style_6"/>
    <w:rPr>
      <w:i w:val="1"/>
      <w:sz w:val="24"/>
    </w:rPr>
  </w:style>
  <w:style w:styleId="Style_7" w:type="paragraph">
    <w:name w:val="WW8Num1z8"/>
    <w:link w:val="Style_7_ch"/>
  </w:style>
  <w:style w:styleId="Style_7_ch" w:type="character">
    <w:name w:val="WW8Num1z8"/>
    <w:link w:val="Style_7"/>
  </w:style>
  <w:style w:styleId="Style_8" w:type="paragraph">
    <w:name w:val="toc 4"/>
    <w:next w:val="Style_2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2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Содержимое врезки"/>
    <w:basedOn w:val="Style_2"/>
    <w:link w:val="Style_10_ch"/>
  </w:style>
  <w:style w:styleId="Style_10_ch" w:type="character">
    <w:name w:val="Содержимое врезки"/>
    <w:basedOn w:val="Style_2_ch"/>
    <w:link w:val="Style_10"/>
  </w:style>
  <w:style w:styleId="Style_11" w:type="paragraph">
    <w:name w:val="No Spacing"/>
    <w:link w:val="Style_11_ch"/>
    <w:rPr>
      <w:sz w:val="24"/>
    </w:rPr>
  </w:style>
  <w:style w:styleId="Style_11_ch" w:type="character">
    <w:name w:val="No Spacing"/>
    <w:link w:val="Style_11"/>
    <w:rPr>
      <w:sz w:val="24"/>
    </w:rPr>
  </w:style>
  <w:style w:styleId="Style_12" w:type="paragraph">
    <w:name w:val="toc 7"/>
    <w:next w:val="Style_2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Основной шрифт абзаца2"/>
    <w:link w:val="Style_13_ch"/>
  </w:style>
  <w:style w:styleId="Style_13_ch" w:type="character">
    <w:name w:val="Основной шрифт абзаца2"/>
    <w:link w:val="Style_13"/>
  </w:style>
  <w:style w:styleId="Style_14" w:type="paragraph">
    <w:name w:val="Основной шрифт абзаца4"/>
    <w:link w:val="Style_14_ch"/>
  </w:style>
  <w:style w:styleId="Style_14_ch" w:type="character">
    <w:name w:val="Основной шрифт абзаца4"/>
    <w:link w:val="Style_14"/>
  </w:style>
  <w:style w:styleId="Style_15" w:type="paragraph">
    <w:name w:val="heading 3"/>
    <w:basedOn w:val="Style_17"/>
    <w:next w:val="Style_16"/>
    <w:link w:val="Style_15_ch"/>
    <w:uiPriority w:val="9"/>
    <w:qFormat/>
    <w:pPr>
      <w:numPr>
        <w:ilvl w:val="2"/>
        <w:numId w:val="1"/>
      </w:numPr>
      <w:spacing w:after="120" w:before="140"/>
      <w:ind/>
      <w:outlineLvl w:val="2"/>
    </w:pPr>
    <w:rPr>
      <w:b w:val="1"/>
      <w:sz w:val="28"/>
    </w:rPr>
  </w:style>
  <w:style w:styleId="Style_15_ch" w:type="character">
    <w:name w:val="heading 3"/>
    <w:basedOn w:val="Style_17_ch"/>
    <w:link w:val="Style_15"/>
    <w:rPr>
      <w:b w:val="1"/>
      <w:sz w:val="28"/>
    </w:rPr>
  </w:style>
  <w:style w:styleId="Style_18" w:type="paragraph">
    <w:name w:val="Указатель4"/>
    <w:basedOn w:val="Style_2"/>
    <w:link w:val="Style_18_ch"/>
  </w:style>
  <w:style w:styleId="Style_18_ch" w:type="character">
    <w:name w:val="Указатель4"/>
    <w:basedOn w:val="Style_2_ch"/>
    <w:link w:val="Style_18"/>
  </w:style>
  <w:style w:styleId="Style_19" w:type="paragraph">
    <w:name w:val="WW8Num1z6"/>
    <w:link w:val="Style_19_ch"/>
  </w:style>
  <w:style w:styleId="Style_19_ch" w:type="character">
    <w:name w:val="WW8Num1z6"/>
    <w:link w:val="Style_19"/>
  </w:style>
  <w:style w:styleId="Style_1" w:type="paragraph">
    <w:name w:val="Текст1"/>
    <w:basedOn w:val="Style_2"/>
    <w:link w:val="Style_1_ch"/>
    <w:rPr>
      <w:rFonts w:ascii="Consolas" w:hAnsi="Consolas"/>
      <w:sz w:val="21"/>
    </w:rPr>
  </w:style>
  <w:style w:styleId="Style_1_ch" w:type="character">
    <w:name w:val="Текст1"/>
    <w:basedOn w:val="Style_2_ch"/>
    <w:link w:val="Style_1"/>
    <w:rPr>
      <w:rFonts w:ascii="Consolas" w:hAnsi="Consolas"/>
      <w:sz w:val="21"/>
    </w:rPr>
  </w:style>
  <w:style w:styleId="Style_20" w:type="paragraph">
    <w:name w:val="WW8Num1z7"/>
    <w:link w:val="Style_20_ch"/>
  </w:style>
  <w:style w:styleId="Style_20_ch" w:type="character">
    <w:name w:val="WW8Num1z7"/>
    <w:link w:val="Style_20"/>
  </w:style>
  <w:style w:styleId="Style_16" w:type="paragraph">
    <w:name w:val="Body Text"/>
    <w:basedOn w:val="Style_2"/>
    <w:link w:val="Style_16_ch"/>
    <w:pPr>
      <w:spacing w:after="140" w:before="0" w:line="288" w:lineRule="auto"/>
      <w:ind/>
    </w:pPr>
  </w:style>
  <w:style w:styleId="Style_16_ch" w:type="character">
    <w:name w:val="Body Text"/>
    <w:basedOn w:val="Style_2_ch"/>
    <w:link w:val="Style_16"/>
  </w:style>
  <w:style w:styleId="Style_21" w:type="paragraph">
    <w:name w:val="WW8Num1z2"/>
    <w:link w:val="Style_21_ch"/>
  </w:style>
  <w:style w:styleId="Style_21_ch" w:type="character">
    <w:name w:val="WW8Num1z2"/>
    <w:link w:val="Style_21"/>
  </w:style>
  <w:style w:styleId="Style_22" w:type="paragraph">
    <w:name w:val="WW8Num1z4"/>
    <w:link w:val="Style_22_ch"/>
  </w:style>
  <w:style w:styleId="Style_22_ch" w:type="character">
    <w:name w:val="WW8Num1z4"/>
    <w:link w:val="Style_22"/>
  </w:style>
  <w:style w:styleId="Style_23" w:type="paragraph">
    <w:name w:val="Название объекта2"/>
    <w:basedOn w:val="Style_2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Название объекта2"/>
    <w:basedOn w:val="Style_2_ch"/>
    <w:link w:val="Style_23"/>
    <w:rPr>
      <w:i w:val="1"/>
      <w:sz w:val="24"/>
    </w:rPr>
  </w:style>
  <w:style w:styleId="Style_24" w:type="paragraph">
    <w:name w:val="toc 3"/>
    <w:next w:val="Style_2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Указатель2"/>
    <w:basedOn w:val="Style_2"/>
    <w:link w:val="Style_25_ch"/>
  </w:style>
  <w:style w:styleId="Style_25_ch" w:type="character">
    <w:name w:val="Указатель2"/>
    <w:basedOn w:val="Style_2_ch"/>
    <w:link w:val="Style_25"/>
  </w:style>
  <w:style w:styleId="Style_26" w:type="paragraph">
    <w:name w:val="Текст Знак"/>
    <w:link w:val="Style_26_ch"/>
    <w:rPr>
      <w:rFonts w:ascii="Consolas" w:hAnsi="Consolas"/>
      <w:sz w:val="21"/>
    </w:rPr>
  </w:style>
  <w:style w:styleId="Style_26_ch" w:type="character">
    <w:name w:val="Текст Знак"/>
    <w:link w:val="Style_26"/>
    <w:rPr>
      <w:rFonts w:ascii="Consolas" w:hAnsi="Consolas"/>
      <w:sz w:val="21"/>
    </w:rPr>
  </w:style>
  <w:style w:styleId="Style_27" w:type="paragraph">
    <w:name w:val="Основной шрифт абзаца3"/>
    <w:link w:val="Style_27_ch"/>
  </w:style>
  <w:style w:styleId="Style_27_ch" w:type="character">
    <w:name w:val="Основной шрифт абзаца3"/>
    <w:link w:val="Style_27"/>
  </w:style>
  <w:style w:styleId="Style_17" w:type="paragraph">
    <w:name w:val="Заголовок"/>
    <w:basedOn w:val="Style_2"/>
    <w:next w:val="Style_16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2_ch"/>
    <w:link w:val="Style_17"/>
    <w:rPr>
      <w:rFonts w:ascii="Liberation Sans" w:hAnsi="Liberation Sans"/>
      <w:sz w:val="28"/>
    </w:rPr>
  </w:style>
  <w:style w:styleId="Style_28" w:type="paragraph">
    <w:name w:val="heading 5"/>
    <w:next w:val="Style_2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Название объекта3"/>
    <w:basedOn w:val="Style_17"/>
    <w:next w:val="Style_16"/>
    <w:link w:val="Style_29_ch"/>
    <w:pPr>
      <w:ind/>
      <w:jc w:val="center"/>
    </w:pPr>
    <w:rPr>
      <w:b w:val="1"/>
      <w:sz w:val="56"/>
    </w:rPr>
  </w:style>
  <w:style w:styleId="Style_29_ch" w:type="character">
    <w:name w:val="Название объекта3"/>
    <w:basedOn w:val="Style_17_ch"/>
    <w:link w:val="Style_29"/>
    <w:rPr>
      <w:b w:val="1"/>
      <w:sz w:val="56"/>
    </w:rPr>
  </w:style>
  <w:style w:styleId="Style_30" w:type="paragraph">
    <w:name w:val="Заголовок таблицы"/>
    <w:basedOn w:val="Style_31"/>
    <w:link w:val="Style_30_ch"/>
    <w:pPr>
      <w:ind/>
      <w:jc w:val="center"/>
    </w:pPr>
    <w:rPr>
      <w:b w:val="1"/>
    </w:rPr>
  </w:style>
  <w:style w:styleId="Style_30_ch" w:type="character">
    <w:name w:val="Заголовок таблицы"/>
    <w:basedOn w:val="Style_31_ch"/>
    <w:link w:val="Style_30"/>
    <w:rPr>
      <w:b w:val="1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heading 1"/>
    <w:basedOn w:val="Style_17"/>
    <w:next w:val="Style_16"/>
    <w:link w:val="Style_33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b w:val="1"/>
      <w:sz w:val="36"/>
    </w:rPr>
  </w:style>
  <w:style w:styleId="Style_33_ch" w:type="character">
    <w:name w:val="heading 1"/>
    <w:basedOn w:val="Style_17_ch"/>
    <w:link w:val="Style_33"/>
    <w:rPr>
      <w:b w:val="1"/>
      <w:sz w:val="36"/>
    </w:rPr>
  </w:style>
  <w:style w:styleId="Style_31" w:type="paragraph">
    <w:name w:val="Содержимое таблицы"/>
    <w:basedOn w:val="Style_2"/>
    <w:link w:val="Style_31_ch"/>
  </w:style>
  <w:style w:styleId="Style_31_ch" w:type="character">
    <w:name w:val="Содержимое таблицы"/>
    <w:basedOn w:val="Style_2_ch"/>
    <w:link w:val="Style_31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/>
      <w:jc w:val="left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2"/>
    <w:link w:val="Style_36_ch"/>
    <w:uiPriority w:val="39"/>
    <w:pPr>
      <w:ind w:firstLine="0" w:left="0"/>
    </w:pPr>
    <w:rPr>
      <w:rFonts w:ascii="XO Thames" w:hAnsi="XO Thames"/>
      <w:b w:val="1"/>
    </w:rPr>
  </w:style>
  <w:style w:styleId="Style_36_ch" w:type="character">
    <w:name w:val="toc 1"/>
    <w:link w:val="Style_36"/>
    <w:rPr>
      <w:rFonts w:ascii="XO Thames" w:hAnsi="XO Thames"/>
      <w:b w:val="1"/>
    </w:rPr>
  </w:style>
  <w:style w:styleId="Style_37" w:type="paragraph">
    <w:name w:val="Header and Footer"/>
    <w:link w:val="Style_37_ch"/>
    <w:pPr>
      <w:spacing w:line="360" w:lineRule="auto"/>
      <w:ind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Блочная цитата"/>
    <w:basedOn w:val="Style_2"/>
    <w:link w:val="Style_38_ch"/>
    <w:pPr>
      <w:spacing w:after="283" w:before="0"/>
      <w:ind w:firstLine="0" w:left="567" w:right="567"/>
    </w:pPr>
  </w:style>
  <w:style w:styleId="Style_38_ch" w:type="character">
    <w:name w:val="Блочная цитата"/>
    <w:basedOn w:val="Style_2_ch"/>
    <w:link w:val="Style_38"/>
  </w:style>
  <w:style w:styleId="Style_39" w:type="paragraph">
    <w:name w:val="toc 9"/>
    <w:next w:val="Style_2"/>
    <w:link w:val="Style_39_ch"/>
    <w:uiPriority w:val="39"/>
    <w:pPr>
      <w:ind w:firstLine="0" w:left="1600"/>
    </w:pPr>
  </w:style>
  <w:style w:styleId="Style_39_ch" w:type="character">
    <w:name w:val="toc 9"/>
    <w:link w:val="Style_39"/>
  </w:style>
  <w:style w:styleId="Style_40" w:type="paragraph">
    <w:name w:val="Указатель3"/>
    <w:basedOn w:val="Style_2"/>
    <w:link w:val="Style_40_ch"/>
  </w:style>
  <w:style w:styleId="Style_40_ch" w:type="character">
    <w:name w:val="Указатель3"/>
    <w:basedOn w:val="Style_2_ch"/>
    <w:link w:val="Style_40"/>
  </w:style>
  <w:style w:styleId="Style_41" w:type="paragraph">
    <w:name w:val="WW8Num1z5"/>
    <w:link w:val="Style_41_ch"/>
  </w:style>
  <w:style w:styleId="Style_41_ch" w:type="character">
    <w:name w:val="WW8Num1z5"/>
    <w:link w:val="Style_41"/>
  </w:style>
  <w:style w:styleId="Style_42" w:type="paragraph">
    <w:name w:val="WW-Заголовок"/>
    <w:basedOn w:val="Style_2"/>
    <w:next w:val="Style_43"/>
    <w:link w:val="Style_42_ch"/>
    <w:pPr>
      <w:ind/>
      <w:jc w:val="center"/>
    </w:pPr>
    <w:rPr>
      <w:b w:val="1"/>
      <w:sz w:val="36"/>
    </w:rPr>
  </w:style>
  <w:style w:styleId="Style_42_ch" w:type="character">
    <w:name w:val="WW-Заголовок"/>
    <w:basedOn w:val="Style_2_ch"/>
    <w:link w:val="Style_42"/>
    <w:rPr>
      <w:b w:val="1"/>
      <w:sz w:val="36"/>
    </w:rPr>
  </w:style>
  <w:style w:styleId="Style_44" w:type="paragraph">
    <w:name w:val="toc 8"/>
    <w:next w:val="Style_2"/>
    <w:link w:val="Style_44_ch"/>
    <w:uiPriority w:val="39"/>
    <w:pPr>
      <w:ind w:firstLine="0" w:left="1400"/>
    </w:pPr>
  </w:style>
  <w:style w:styleId="Style_44_ch" w:type="character">
    <w:name w:val="toc 8"/>
    <w:link w:val="Style_44"/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toc 5"/>
    <w:next w:val="Style_2"/>
    <w:link w:val="Style_46_ch"/>
    <w:uiPriority w:val="39"/>
    <w:pPr>
      <w:ind w:firstLine="0" w:left="800"/>
    </w:pPr>
  </w:style>
  <w:style w:styleId="Style_46_ch" w:type="character">
    <w:name w:val="toc 5"/>
    <w:link w:val="Style_46"/>
  </w:style>
  <w:style w:styleId="Style_47" w:type="paragraph">
    <w:name w:val="Balloon Text"/>
    <w:basedOn w:val="Style_2"/>
    <w:link w:val="Style_47_ch"/>
    <w:rPr>
      <w:rFonts w:ascii="Tahoma" w:hAnsi="Tahoma"/>
      <w:sz w:val="16"/>
    </w:rPr>
  </w:style>
  <w:style w:styleId="Style_47_ch" w:type="character">
    <w:name w:val="Balloon Text"/>
    <w:basedOn w:val="Style_2_ch"/>
    <w:link w:val="Style_47"/>
    <w:rPr>
      <w:rFonts w:ascii="Tahoma" w:hAnsi="Tahoma"/>
      <w:sz w:val="16"/>
    </w:rPr>
  </w:style>
  <w:style w:styleId="Style_48" w:type="paragraph">
    <w:name w:val="caption"/>
    <w:basedOn w:val="Style_2"/>
    <w:link w:val="Style_48_ch"/>
    <w:pPr>
      <w:spacing w:after="120" w:before="120"/>
      <w:ind/>
    </w:pPr>
    <w:rPr>
      <w:i w:val="1"/>
      <w:sz w:val="24"/>
    </w:rPr>
  </w:style>
  <w:style w:styleId="Style_48_ch" w:type="character">
    <w:name w:val="caption"/>
    <w:basedOn w:val="Style_2_ch"/>
    <w:link w:val="Style_48"/>
    <w:rPr>
      <w:i w:val="1"/>
      <w:sz w:val="24"/>
    </w:rPr>
  </w:style>
  <w:style w:styleId="Style_49" w:type="paragraph">
    <w:name w:val="List"/>
    <w:basedOn w:val="Style_16"/>
    <w:link w:val="Style_49_ch"/>
  </w:style>
  <w:style w:styleId="Style_49_ch" w:type="character">
    <w:name w:val="List"/>
    <w:basedOn w:val="Style_16_ch"/>
    <w:link w:val="Style_49"/>
  </w:style>
  <w:style w:styleId="Style_50" w:type="paragraph">
    <w:name w:val="Указатель1"/>
    <w:basedOn w:val="Style_2"/>
    <w:link w:val="Style_50_ch"/>
  </w:style>
  <w:style w:styleId="Style_50_ch" w:type="character">
    <w:name w:val="Указатель1"/>
    <w:basedOn w:val="Style_2_ch"/>
    <w:link w:val="Style_50"/>
  </w:style>
  <w:style w:styleId="Style_43" w:type="paragraph">
    <w:name w:val="Subtitle"/>
    <w:basedOn w:val="Style_17"/>
    <w:next w:val="Style_16"/>
    <w:link w:val="Style_43_ch"/>
    <w:uiPriority w:val="11"/>
    <w:qFormat/>
    <w:pPr>
      <w:spacing w:after="120" w:before="60"/>
      <w:ind/>
      <w:jc w:val="center"/>
    </w:pPr>
    <w:rPr>
      <w:sz w:val="36"/>
    </w:rPr>
  </w:style>
  <w:style w:styleId="Style_43_ch" w:type="character">
    <w:name w:val="Subtitle"/>
    <w:basedOn w:val="Style_17_ch"/>
    <w:link w:val="Style_43"/>
    <w:rPr>
      <w:sz w:val="36"/>
    </w:rPr>
  </w:style>
  <w:style w:styleId="Style_51" w:type="paragraph">
    <w:name w:val="toc 10"/>
    <w:next w:val="Style_2"/>
    <w:link w:val="Style_51_ch"/>
    <w:uiPriority w:val="39"/>
    <w:pPr>
      <w:ind w:firstLine="0" w:left="1800"/>
    </w:pPr>
  </w:style>
  <w:style w:styleId="Style_51_ch" w:type="character">
    <w:name w:val="toc 10"/>
    <w:link w:val="Style_51"/>
  </w:style>
  <w:style w:styleId="Style_52" w:type="paragraph">
    <w:name w:val="Title"/>
    <w:next w:val="Style_2"/>
    <w:link w:val="Style_52_ch"/>
    <w:uiPriority w:val="10"/>
    <w:qFormat/>
    <w:rPr>
      <w:rFonts w:ascii="XO Thames" w:hAnsi="XO Thames"/>
      <w:b w:val="1"/>
      <w:sz w:val="52"/>
    </w:rPr>
  </w:style>
  <w:style w:styleId="Style_52_ch" w:type="character">
    <w:name w:val="Title"/>
    <w:link w:val="Style_52"/>
    <w:rPr>
      <w:rFonts w:ascii="XO Thames" w:hAnsi="XO Thames"/>
      <w:b w:val="1"/>
      <w:sz w:val="52"/>
    </w:rPr>
  </w:style>
  <w:style w:styleId="Style_53" w:type="paragraph">
    <w:name w:val="heading 4"/>
    <w:next w:val="Style_2"/>
    <w:link w:val="Style_5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3_ch" w:type="character">
    <w:name w:val="heading 4"/>
    <w:link w:val="Style_53"/>
    <w:rPr>
      <w:rFonts w:ascii="XO Thames" w:hAnsi="XO Thames"/>
      <w:b w:val="1"/>
      <w:color w:val="595959"/>
      <w:sz w:val="26"/>
    </w:rPr>
  </w:style>
  <w:style w:styleId="Style_54" w:type="paragraph">
    <w:name w:val="heading 2"/>
    <w:basedOn w:val="Style_17"/>
    <w:next w:val="Style_16"/>
    <w:link w:val="Style_54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54_ch" w:type="character">
    <w:name w:val="heading 2"/>
    <w:basedOn w:val="Style_17_ch"/>
    <w:link w:val="Style_54"/>
    <w:rPr>
      <w:b w:val="1"/>
      <w:sz w:val="32"/>
    </w:rPr>
  </w:style>
  <w:style w:styleId="Style_55" w:type="paragraph">
    <w:name w:val="WW8Num1z0"/>
    <w:link w:val="Style_55_ch"/>
  </w:style>
  <w:style w:styleId="Style_55_ch" w:type="character">
    <w:name w:val="WW8Num1z0"/>
    <w:link w:val="Style_55"/>
  </w:style>
  <w:style w:default="1" w:styleId="Style_5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