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778"/>
        <w:gridCol w:w="284"/>
        <w:gridCol w:w="3402"/>
        <w:gridCol w:w="425"/>
      </w:tblGrid>
      <w:tr>
        <w:tc>
          <w:tcPr>
            <w:tcW w:type="dxa" w:w="9889"/>
            <w:gridSpan w:val="4"/>
          </w:tcPr>
          <w:p w14:paraId="01000000">
            <w:pPr>
              <w:pStyle w:val="Style_2"/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</w:pPr>
          </w:p>
          <w:p w14:paraId="03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пгт. Сандово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№3</w:t>
            </w:r>
          </w:p>
        </w:tc>
      </w:tr>
      <w:tr>
        <w:trPr>
          <w:trHeight w:hRule="atLeast" w:val="80"/>
        </w:trPr>
        <w:tc>
          <w:tcPr>
            <w:tcW w:type="dxa" w:w="5778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5778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5778"/>
            <w:shd w:fill="auto" w:val="clear"/>
          </w:tcPr>
          <w:p w14:paraId="0D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определении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печатного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официального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опубликования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размещения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официальном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сайте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правовых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актов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официальной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</w:t>
            </w:r>
            <w:r>
              <w:rPr>
                <w:rFonts w:ascii="Times New Roman" w:hAnsi="Times New Roman"/>
                <w:sz w:val="28"/>
              </w:rPr>
              <w:t xml:space="preserve"> Тверской области</w:t>
            </w:r>
          </w:p>
        </w:tc>
        <w:tc>
          <w:tcPr>
            <w:tcW w:type="dxa" w:w="284"/>
            <w:shd w:fill="auto" w:val="clear"/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F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5778"/>
            <w:shd w:fill="auto" w:val="clear"/>
          </w:tcPr>
          <w:p w14:paraId="10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2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</w:tbl>
    <w:p w14:paraId="13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4000000">
            <w:pPr>
              <w:rPr>
                <w:rFonts w:ascii="Times New Roman" w:hAnsi="Times New Roman"/>
                <w:sz w:val="28"/>
              </w:rPr>
            </w:pPr>
          </w:p>
          <w:p w14:paraId="15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17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РЕШИЛА:</w:t>
            </w:r>
          </w:p>
        </w:tc>
        <w:tc>
          <w:tcPr>
            <w:tcW w:type="dxa" w:w="1418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C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 Тверской 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.</w:t>
      </w:r>
    </w:p>
    <w:p w14:paraId="1E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Сандовского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Интернет»</w:t>
      </w:r>
      <w:r>
        <w:rPr>
          <w:rFonts w:ascii="Times New Roman" w:hAnsi="Times New Roman"/>
          <w:sz w:val="28"/>
        </w:rPr>
        <w:t>.</w:t>
      </w:r>
    </w:p>
    <w:p w14:paraId="1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2000000">
      <w:pPr>
        <w:widowControl w:val="0"/>
        <w:tabs>
          <w:tab w:leader="none" w:pos="10205" w:val="left"/>
        </w:tabs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</w:t>
      </w:r>
    </w:p>
    <w:sectPr>
      <w:pgSz w:h="16838" w:w="11906"/>
      <w:pgMar w:bottom="567" w:footer="720" w:gutter="0" w:header="720" w:left="1134" w:right="567" w:top="6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rmal"/>
    <w:link w:val="Style_12_ch"/>
    <w:rPr>
      <w:sz w:val="28"/>
    </w:rPr>
  </w:style>
  <w:style w:styleId="Style_12_ch" w:type="character">
    <w:name w:val="ConsPlusNormal"/>
    <w:link w:val="Style_12"/>
    <w:rPr>
      <w:sz w:val="28"/>
    </w:rPr>
  </w:style>
  <w:style w:styleId="Style_3" w:type="paragraph">
    <w:name w:val="Heading"/>
    <w:basedOn w:val="Style_4"/>
    <w:next w:val="Style_4"/>
    <w:link w:val="Style_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3_ch" w:type="character">
    <w:name w:val="Heading"/>
    <w:basedOn w:val="Style_4_ch"/>
    <w:link w:val="Style_3"/>
    <w:rPr>
      <w:rFonts w:ascii="Arial" w:hAnsi="Arial"/>
      <w:color w:val="00000A"/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5_ch" w:type="character">
    <w:name w:val="heading 1"/>
    <w:basedOn w:val="Style_4_ch"/>
    <w:link w:val="Style_15"/>
    <w:rPr>
      <w:rFonts w:ascii="Arial" w:hAnsi="Arial"/>
      <w:b w:val="1"/>
      <w:sz w:val="3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basedOn w:val="Style_4"/>
    <w:next w:val="Style_4"/>
    <w:link w:val="Style_23_ch"/>
    <w:uiPriority w:val="11"/>
    <w:qFormat/>
    <w:rPr>
      <w:rFonts w:ascii="Times New Roman" w:hAnsi="Times New Roman"/>
      <w:b w:val="1"/>
      <w:sz w:val="24"/>
    </w:rPr>
  </w:style>
  <w:style w:styleId="Style_23_ch" w:type="character">
    <w:name w:val="Subtitle"/>
    <w:basedOn w:val="Style_4_ch"/>
    <w:link w:val="Style_23"/>
    <w:rPr>
      <w:rFonts w:ascii="Times New Roman" w:hAnsi="Times New Roman"/>
      <w:b w:val="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" w:type="paragraph">
    <w:name w:val="Title"/>
    <w:basedOn w:val="Style_4"/>
    <w:next w:val="Style_4"/>
    <w:link w:val="Style_2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24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2020-09-22T13:28:29Z</dcterms:modified>
</cp:coreProperties>
</file>