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mc:Ignorable="co w14 x14 w15">
  <w:body>
    <w:p w14:paraId="01000000">
      <w:pPr>
        <w:ind/>
        <w:jc w:val="center"/>
        <w:rPr>
          <w:b w:val="1"/>
          <w:sz w:val="40"/>
        </w:rPr>
      </w:pPr>
      <w:r>
        <w:drawing>
          <wp:inline>
            <wp:extent cx="476885" cy="539750"/>
            <wp:docPr id="1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1" r:link=""/>
                    <a:stretch/>
                  </pic:blipFill>
                  <pic:spPr>
                    <a:xfrm rot="0">
                      <a:off x="0" y="0"/>
                      <a:ext cx="476885" cy="5397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ind/>
        <w:jc w:val="center"/>
      </w:pPr>
      <w:r>
        <w:rPr>
          <w:rFonts w:ascii="Times New Roman" w:hAnsi="Times New Roman"/>
          <w:b w:val="1"/>
          <w:sz w:val="40"/>
        </w:rPr>
        <w:t>АДМИНИСТРАЦИЯ</w:t>
      </w:r>
    </w:p>
    <w:p w14:paraId="03000000">
      <w:pPr>
        <w:ind/>
        <w:jc w:val="center"/>
      </w:pPr>
      <w:r>
        <w:rPr>
          <w:rFonts w:ascii="Times New Roman" w:hAnsi="Times New Roman"/>
          <w:b w:val="1"/>
          <w:sz w:val="40"/>
        </w:rPr>
        <w:t>САНДОВСКОГО РАЙОНА</w:t>
      </w:r>
    </w:p>
    <w:p w14:paraId="04000000">
      <w:pPr>
        <w:ind/>
        <w:jc w:val="center"/>
      </w:pPr>
      <w:r>
        <w:rPr>
          <w:rFonts w:ascii="Times New Roman" w:hAnsi="Times New Roman"/>
          <w:sz w:val="28"/>
        </w:rPr>
        <w:t>Тверской области</w:t>
      </w:r>
    </w:p>
    <w:p w14:paraId="05000000">
      <w:pPr>
        <w:ind w:firstLine="0" w:left="283"/>
      </w:pPr>
      <w:r>
        <w:rPr>
          <w:rFonts w:ascii="Times New Roman" w:hAnsi="Times New Roman"/>
          <w:b w:val="1"/>
          <w:sz w:val="44"/>
        </w:rPr>
        <w:t xml:space="preserve">                    </w:t>
      </w:r>
      <w:r>
        <w:rPr>
          <w:rFonts w:ascii="Times New Roman" w:hAnsi="Times New Roman"/>
          <w:b w:val="1"/>
          <w:sz w:val="44"/>
        </w:rPr>
        <w:t>ПОСТАНОВЛЕНИЕ</w:t>
      </w:r>
    </w:p>
    <w:p w14:paraId="06000000">
      <w:r>
        <w:rPr>
          <w:rFonts w:ascii="Times New Roman" w:hAnsi="Times New Roman"/>
          <w:sz w:val="28"/>
        </w:rPr>
        <w:t xml:space="preserve"> 31.01.2020                                     п. Сандово                                                  № 34</w:t>
      </w:r>
    </w:p>
    <w:p w14:paraId="07000000">
      <w:r>
        <w:rPr>
          <w:rFonts w:ascii="Times New Roman" w:hAnsi="Times New Roman"/>
          <w:sz w:val="28"/>
        </w:rPr>
        <w:t xml:space="preserve">      </w:t>
      </w:r>
    </w:p>
    <w:p w14:paraId="08000000"/>
    <w:tbl>
      <w:tblPr>
        <w:tblStyle w:val="Style_1"/>
        <w:tblInd w:type="dxa" w:w="55"/>
        <w:tblCellMar>
          <w:top w:type="dxa" w:w="55"/>
          <w:left w:type="dxa" w:w="55"/>
          <w:bottom w:type="dxa" w:w="55"/>
          <w:right w:type="dxa" w:w="55"/>
        </w:tblCellMar>
      </w:tblPr>
      <w:tblGrid>
        <w:gridCol w:w="9866"/>
      </w:tblGrid>
      <w:tr>
        <w:trPr>
          <w:trHeight w:hRule="atLeast" w:val="1922"/>
        </w:trPr>
        <w:tc>
          <w:tcPr>
            <w:tcW w:type="dxa" w:w="9866"/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 w14:paraId="09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</w:t>
            </w:r>
            <w:r>
              <w:rPr>
                <w:rFonts w:ascii="Times New Roman" w:hAnsi="Times New Roman"/>
                <w:sz w:val="28"/>
              </w:rPr>
              <w:t>б</w:t>
            </w:r>
            <w:r>
              <w:rPr>
                <w:rFonts w:ascii="Times New Roman" w:hAnsi="Times New Roman"/>
                <w:sz w:val="28"/>
              </w:rPr>
              <w:t xml:space="preserve"> утверждении </w:t>
            </w:r>
            <w:r>
              <w:rPr>
                <w:rFonts w:ascii="Times New Roman" w:hAnsi="Times New Roman"/>
                <w:sz w:val="28"/>
              </w:rPr>
              <w:t>«С</w:t>
            </w:r>
            <w:r>
              <w:rPr>
                <w:rFonts w:ascii="Times New Roman" w:hAnsi="Times New Roman"/>
                <w:sz w:val="28"/>
              </w:rPr>
              <w:t xml:space="preserve">тандартов </w:t>
            </w:r>
            <w:r>
              <w:rPr>
                <w:rFonts w:ascii="Times New Roman" w:hAnsi="Times New Roman"/>
                <w:sz w:val="28"/>
              </w:rPr>
              <w:t>благоустройства</w:t>
            </w:r>
          </w:p>
          <w:p w14:paraId="0A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воинских захоронений</w:t>
            </w:r>
            <w:r>
              <w:rPr>
                <w:rFonts w:ascii="Times New Roman" w:hAnsi="Times New Roman"/>
                <w:sz w:val="28"/>
              </w:rPr>
              <w:t>,</w:t>
            </w:r>
            <w:r>
              <w:rPr>
                <w:rFonts w:ascii="Times New Roman" w:hAnsi="Times New Roman"/>
                <w:sz w:val="28"/>
              </w:rPr>
              <w:t xml:space="preserve"> надгробий, </w:t>
            </w:r>
          </w:p>
          <w:p w14:paraId="0B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памятников, стел, обелисков, элементов </w:t>
            </w:r>
          </w:p>
          <w:p w14:paraId="0C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ограждения и других мемориальных сооружений </w:t>
            </w:r>
          </w:p>
          <w:p w14:paraId="0D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 объектов</w:t>
            </w:r>
            <w:r>
              <w:rPr>
                <w:rFonts w:ascii="Times New Roman" w:hAnsi="Times New Roman"/>
                <w:sz w:val="28"/>
              </w:rPr>
              <w:t xml:space="preserve">, </w:t>
            </w:r>
            <w:r>
              <w:rPr>
                <w:rFonts w:ascii="Times New Roman" w:hAnsi="Times New Roman"/>
                <w:sz w:val="28"/>
              </w:rPr>
              <w:t xml:space="preserve">увековечивающих память погибших в годы </w:t>
            </w:r>
          </w:p>
          <w:p w14:paraId="0E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Великой Отечественной войны</w:t>
            </w:r>
            <w:r>
              <w:rPr>
                <w:rFonts w:ascii="Times New Roman" w:hAnsi="Times New Roman"/>
                <w:sz w:val="28"/>
              </w:rPr>
              <w:t>,</w:t>
            </w:r>
            <w:r>
              <w:rPr>
                <w:rFonts w:ascii="Times New Roman" w:hAnsi="Times New Roman"/>
                <w:sz w:val="28"/>
              </w:rPr>
              <w:t xml:space="preserve"> на территории </w:t>
            </w:r>
          </w:p>
          <w:p w14:paraId="0F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Сандовского района </w:t>
            </w:r>
            <w:r>
              <w:rPr>
                <w:rFonts w:ascii="Times New Roman" w:hAnsi="Times New Roman"/>
                <w:sz w:val="28"/>
              </w:rPr>
              <w:t xml:space="preserve"> Тверской области</w:t>
            </w:r>
            <w:r>
              <w:rPr>
                <w:rFonts w:ascii="Times New Roman" w:hAnsi="Times New Roman"/>
                <w:sz w:val="28"/>
              </w:rPr>
              <w:t>»</w:t>
            </w:r>
          </w:p>
          <w:p w14:paraId="10000000">
            <w:pPr>
              <w:rPr>
                <w:rFonts w:ascii="Times New Roman" w:hAnsi="Times New Roman"/>
                <w:sz w:val="28"/>
              </w:rPr>
            </w:pPr>
          </w:p>
          <w:p w14:paraId="11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В соответствии с распоряжением Правительства Тверской области от 30.12.2019 г. № 968-рп « О стандартах благоустройства и дополнительных мерах по учёту и содержанию воинских захоронений, увековечивающих память погибших в годы Великой Отечественной войны в Тверской области», администрация Сандовского района</w:t>
            </w:r>
            <w:r>
              <w:rPr>
                <w:rFonts w:ascii="Times New Roman" w:hAnsi="Times New Roman"/>
                <w:sz w:val="28"/>
              </w:rPr>
              <w:t xml:space="preserve"> Тверской области</w:t>
            </w:r>
          </w:p>
          <w:p w14:paraId="12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</w:p>
          <w:p w14:paraId="13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ПОСТАНОВЛЯЕТ:</w:t>
            </w:r>
          </w:p>
          <w:p w14:paraId="1400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  <w:p w14:paraId="15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1. Ут</w:t>
            </w:r>
            <w:r>
              <w:rPr>
                <w:rFonts w:ascii="Times New Roman" w:hAnsi="Times New Roman"/>
                <w:sz w:val="28"/>
              </w:rPr>
              <w:t xml:space="preserve">вердить </w:t>
            </w:r>
            <w:r>
              <w:rPr>
                <w:rFonts w:ascii="Times New Roman" w:hAnsi="Times New Roman"/>
                <w:sz w:val="28"/>
              </w:rPr>
              <w:t>«С</w:t>
            </w:r>
            <w:r>
              <w:rPr>
                <w:rFonts w:ascii="Times New Roman" w:hAnsi="Times New Roman"/>
                <w:sz w:val="28"/>
              </w:rPr>
              <w:t>тандарты благоустройства</w:t>
            </w:r>
            <w:r>
              <w:rPr>
                <w:rFonts w:ascii="Times New Roman" w:hAnsi="Times New Roman"/>
                <w:sz w:val="28"/>
              </w:rPr>
              <w:t xml:space="preserve"> воинских захоронений</w:t>
            </w:r>
            <w:r>
              <w:rPr>
                <w:rFonts w:ascii="Times New Roman" w:hAnsi="Times New Roman"/>
                <w:sz w:val="28"/>
              </w:rPr>
              <w:t>, надгробий, памятников, стел, обелисков, элементов ограждения и других мемориальных сооружений и объектов,</w:t>
            </w:r>
            <w:r>
              <w:rPr>
                <w:rFonts w:ascii="Times New Roman" w:hAnsi="Times New Roman"/>
                <w:sz w:val="28"/>
              </w:rPr>
              <w:t xml:space="preserve"> увековечивающих память погибших в годы Великой Отечественной войны</w:t>
            </w:r>
            <w:r>
              <w:rPr>
                <w:rFonts w:ascii="Times New Roman" w:hAnsi="Times New Roman"/>
                <w:sz w:val="28"/>
              </w:rPr>
              <w:t>,</w:t>
            </w:r>
            <w:r>
              <w:rPr>
                <w:rFonts w:ascii="Times New Roman" w:hAnsi="Times New Roman"/>
                <w:sz w:val="28"/>
              </w:rPr>
              <w:t xml:space="preserve"> на территории Сандовского района</w:t>
            </w:r>
            <w:r>
              <w:rPr>
                <w:rFonts w:ascii="Times New Roman" w:hAnsi="Times New Roman"/>
                <w:sz w:val="28"/>
              </w:rPr>
              <w:t xml:space="preserve"> Тверской области</w:t>
            </w:r>
            <w:r>
              <w:rPr>
                <w:rFonts w:ascii="Times New Roman" w:hAnsi="Times New Roman"/>
                <w:sz w:val="28"/>
              </w:rPr>
              <w:t>»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(</w:t>
            </w:r>
            <w:r>
              <w:rPr>
                <w:rFonts w:ascii="Times New Roman" w:hAnsi="Times New Roman"/>
                <w:sz w:val="28"/>
              </w:rPr>
              <w:t>прилагается).</w:t>
            </w:r>
          </w:p>
          <w:p w14:paraId="16000000">
            <w:pPr>
              <w:spacing w:line="0" w:lineRule="atLeast"/>
              <w:ind/>
              <w:jc w:val="both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</w:t>
            </w:r>
            <w:r>
              <w:rPr>
                <w:rFonts w:ascii="Times New Roman" w:hAnsi="Times New Roman"/>
                <w:sz w:val="28"/>
              </w:rPr>
              <w:t>2.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Контроль за исполнением настоящего постановления возложить на первого заместителя Главы ад</w:t>
            </w:r>
            <w:r>
              <w:rPr>
                <w:rFonts w:ascii="Times New Roman" w:hAnsi="Times New Roman"/>
                <w:sz w:val="28"/>
              </w:rPr>
              <w:t xml:space="preserve">министрации Сандовского района                </w:t>
            </w:r>
            <w:r>
              <w:rPr>
                <w:rFonts w:ascii="Times New Roman" w:hAnsi="Times New Roman"/>
                <w:sz w:val="28"/>
              </w:rPr>
              <w:t>Г.Ю.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Носкову.</w:t>
            </w:r>
          </w:p>
          <w:p w14:paraId="17000000">
            <w:pPr>
              <w:spacing w:line="0" w:lineRule="atLeast"/>
              <w:ind/>
              <w:jc w:val="both"/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3.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 xml:space="preserve">Настоящее постановление вступает в силу со дня  его  подписания и подлежит размещению на официальном сайте администрации Сандовского района в информационно-телекоммуникационной сети «Интернет». </w:t>
            </w:r>
          </w:p>
          <w:p w14:paraId="18000000">
            <w:pPr>
              <w:spacing w:line="0" w:lineRule="atLeast"/>
              <w:ind w:hanging="90"/>
              <w:jc w:val="both"/>
              <w:rPr>
                <w:rFonts w:ascii="Times New Roman" w:hAnsi="Times New Roman"/>
                <w:sz w:val="28"/>
              </w:rPr>
            </w:pPr>
          </w:p>
          <w:p w14:paraId="19000000">
            <w:pPr>
              <w:ind w:hanging="90"/>
              <w:jc w:val="both"/>
              <w:rPr>
                <w:rFonts w:ascii="Times New Roman" w:hAnsi="Times New Roman"/>
                <w:sz w:val="28"/>
              </w:rPr>
            </w:pPr>
          </w:p>
          <w:p w14:paraId="1A000000">
            <w:pPr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      </w:t>
            </w:r>
          </w:p>
          <w:p w14:paraId="1B000000">
            <w:pPr>
              <w:rPr>
                <w:rFonts w:ascii="Times New Roman" w:hAnsi="Times New Roman"/>
                <w:sz w:val="28"/>
              </w:rPr>
            </w:pPr>
          </w:p>
          <w:p w14:paraId="1C000000">
            <w:pPr>
              <w:rPr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Глава Сандовского района                                            О.Н.Грязнов</w:t>
            </w:r>
          </w:p>
        </w:tc>
      </w:tr>
    </w:tbl>
    <w:p w14:paraId="1D000000"/>
    <w:p w14:paraId="1E000000"/>
    <w:p w14:paraId="1F000000"/>
    <w:p w14:paraId="20000000">
      <w:pPr>
        <w:ind/>
        <w:jc w:val="right"/>
        <w:rPr>
          <w:b w:val="0"/>
          <w:sz w:val="24"/>
        </w:rPr>
      </w:pPr>
      <w:r>
        <w:rPr>
          <w:rStyle w:val="Style_2_ch"/>
          <w:rFonts w:ascii="Times New Roman" w:hAnsi="Times New Roman"/>
          <w:b w:val="0"/>
          <w:sz w:val="24"/>
        </w:rPr>
        <w:t>Приложение</w:t>
      </w:r>
      <w:r>
        <w:rPr>
          <w:rFonts w:ascii="Times New Roman" w:hAnsi="Times New Roman"/>
          <w:b w:val="0"/>
          <w:sz w:val="24"/>
        </w:rPr>
        <w:br/>
      </w:r>
      <w:r>
        <w:rPr>
          <w:rStyle w:val="Style_2_ch"/>
          <w:rFonts w:ascii="Times New Roman" w:hAnsi="Times New Roman"/>
          <w:b w:val="0"/>
          <w:sz w:val="24"/>
        </w:rPr>
        <w:t>к постановлению администрации</w:t>
      </w:r>
      <w:r>
        <w:rPr>
          <w:rFonts w:ascii="Times New Roman" w:hAnsi="Times New Roman"/>
          <w:b w:val="0"/>
          <w:sz w:val="24"/>
        </w:rPr>
        <w:br/>
      </w:r>
      <w:r>
        <w:rPr>
          <w:rStyle w:val="Style_2_ch"/>
          <w:rFonts w:ascii="Times New Roman" w:hAnsi="Times New Roman"/>
          <w:b w:val="0"/>
          <w:sz w:val="24"/>
        </w:rPr>
        <w:t>С</w:t>
      </w:r>
      <w:r>
        <w:rPr>
          <w:rStyle w:val="Style_2_ch"/>
          <w:rFonts w:ascii="Times New Roman" w:hAnsi="Times New Roman"/>
          <w:b w:val="0"/>
          <w:sz w:val="24"/>
        </w:rPr>
        <w:t>андовского  района от 31.01.2020</w:t>
      </w:r>
      <w:r>
        <w:rPr>
          <w:rStyle w:val="Style_2_ch"/>
          <w:rFonts w:ascii="Times New Roman" w:hAnsi="Times New Roman"/>
          <w:b w:val="0"/>
          <w:sz w:val="24"/>
        </w:rPr>
        <w:t xml:space="preserve"> г. № 34 </w:t>
      </w:r>
      <w:r>
        <w:rPr>
          <w:rFonts w:ascii="Times New Roman" w:hAnsi="Times New Roman"/>
          <w:b w:val="0"/>
          <w:sz w:val="24"/>
        </w:rPr>
        <w:br/>
      </w:r>
    </w:p>
    <w:p w14:paraId="21000000">
      <w:pPr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>тандарт</w:t>
      </w:r>
      <w:r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z w:val="28"/>
        </w:rPr>
        <w:t xml:space="preserve"> благоустройства воинских захоронений,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надгробий, памятников, стел, обелисков, элементов ограждения и других мемориальных сооружений и объектов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увековечивающих память погибших в годы Великой Отечественной войны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на территории Сандовского района</w:t>
      </w:r>
      <w:r>
        <w:rPr>
          <w:rFonts w:ascii="Times New Roman" w:hAnsi="Times New Roman"/>
          <w:sz w:val="28"/>
        </w:rPr>
        <w:t xml:space="preserve"> Тверской области</w:t>
      </w:r>
    </w:p>
    <w:p w14:paraId="22000000">
      <w:pPr>
        <w:ind/>
        <w:jc w:val="center"/>
        <w:rPr>
          <w:rFonts w:ascii="Times New Roman" w:hAnsi="Times New Roman"/>
          <w:sz w:val="28"/>
        </w:rPr>
      </w:pPr>
    </w:p>
    <w:p w14:paraId="2300000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>тандарты благоустройства воинских захоронений, надгробий, памятников, стел, обелисков, элементов ограждения и других мемориальных сооружений и объектов, увековечивающих память погибших в годы Великой Отечественной войны,</w:t>
      </w:r>
      <w:r>
        <w:rPr>
          <w:rFonts w:ascii="Times New Roman" w:hAnsi="Times New Roman"/>
          <w:sz w:val="28"/>
        </w:rPr>
        <w:t xml:space="preserve"> на территории Сандовского района </w:t>
      </w:r>
      <w:r>
        <w:rPr>
          <w:rFonts w:ascii="Times New Roman" w:hAnsi="Times New Roman"/>
          <w:sz w:val="28"/>
        </w:rPr>
        <w:t xml:space="preserve"> Тверской области (далее </w:t>
      </w:r>
      <w:bookmarkStart w:id="1" w:name="_Hlk25580230"/>
      <w:r>
        <w:rPr>
          <w:rFonts w:ascii="Times New Roman" w:hAnsi="Times New Roman"/>
          <w:sz w:val="28"/>
        </w:rPr>
        <w:t>–</w:t>
      </w:r>
      <w:bookmarkEnd w:id="1"/>
      <w:r>
        <w:rPr>
          <w:rFonts w:ascii="Times New Roman" w:hAnsi="Times New Roman"/>
          <w:sz w:val="28"/>
        </w:rPr>
        <w:t xml:space="preserve"> стандарты благоустройства) распространяются на воинские захоронения, в том числе надгробия, памятники, стелы, обелиски, элементы ограждения и другие мемориальные сооружения и объекты, увековечивающие память погибших в годы Великой Отечественной войны, а также памятники, стелы, обелиски, элементы ограждения и другие</w:t>
      </w:r>
      <w:r>
        <w:rPr>
          <w:rFonts w:ascii="Times New Roman" w:hAnsi="Times New Roman"/>
          <w:sz w:val="28"/>
        </w:rPr>
        <w:t xml:space="preserve"> мемориальные</w:t>
      </w:r>
      <w:r>
        <w:rPr>
          <w:rFonts w:ascii="Times New Roman" w:hAnsi="Times New Roman"/>
          <w:sz w:val="28"/>
        </w:rPr>
        <w:t xml:space="preserve"> сооружения и объекты, увековечивающие память погибших в годы Великой Отечественной войны, не являющиеся воинскими захоронениями (далее – воинские захоронения и/или мемориалы).</w:t>
      </w:r>
    </w:p>
    <w:p w14:paraId="2400000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Обязанности по содержанию воинских захоронений и/или мемориалов осуществляют органы местного самоуправления муниципальных образований Тверской области. </w:t>
      </w:r>
    </w:p>
    <w:p w14:paraId="2500000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Органы местного самоуправления муниципальных образований Тверской области вправе:</w:t>
      </w:r>
    </w:p>
    <w:p w14:paraId="26000000">
      <w:pPr>
        <w:pStyle w:val="Style_3"/>
        <w:numPr>
          <w:ilvl w:val="0"/>
          <w:numId w:val="1"/>
        </w:numPr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привлекать на договорной основе организации различных форм собственности, индивидуальных предпринимателей для выполнения работ по содержанию воинских захоронений и/или мемориалов;</w:t>
      </w:r>
    </w:p>
    <w:p w14:paraId="2700000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закреплять за организациями, учреждениями, общественными объединениями, предприятиями (далее – организации) шефство над воинскими захоронениями и/или мемориалами. Данная информация должна быть включена в учетную карточку воинского захоронения</w:t>
      </w:r>
      <w:r>
        <w:rPr>
          <w:rFonts w:ascii="Times New Roman" w:hAnsi="Times New Roman"/>
          <w:sz w:val="28"/>
        </w:rPr>
        <w:t xml:space="preserve"> в соответствии с формой, установленной приложением 1 к стандартам благоустройства</w:t>
      </w:r>
      <w:r>
        <w:rPr>
          <w:rFonts w:ascii="Times New Roman" w:hAnsi="Times New Roman"/>
          <w:sz w:val="28"/>
        </w:rPr>
        <w:t>.</w:t>
      </w:r>
    </w:p>
    <w:p w14:paraId="2800000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Воинские захоронения и/или мемориалы должны быть оборудованы:</w:t>
      </w:r>
    </w:p>
    <w:p w14:paraId="2900000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стационарной вывеской с наименованием и адресом воинского захоронения и/или мемориала, наименованием органа местного самоуправления </w:t>
      </w:r>
      <w:r>
        <w:rPr>
          <w:rFonts w:ascii="Times New Roman" w:hAnsi="Times New Roman"/>
          <w:sz w:val="28"/>
        </w:rPr>
        <w:t>муниципального образования</w:t>
      </w:r>
      <w:r>
        <w:rPr>
          <w:rFonts w:ascii="Times New Roman" w:hAnsi="Times New Roman"/>
          <w:sz w:val="28"/>
        </w:rPr>
        <w:t xml:space="preserve"> Тверской области, адресом и телефоном ответственного должностного лица;</w:t>
      </w:r>
    </w:p>
    <w:p w14:paraId="2A00000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табличкой с </w:t>
      </w:r>
      <w:r>
        <w:rPr>
          <w:rFonts w:ascii="Times New Roman" w:hAnsi="Times New Roman"/>
          <w:sz w:val="28"/>
        </w:rPr>
        <w:t>QR</w:t>
      </w:r>
      <w:r>
        <w:rPr>
          <w:rFonts w:ascii="Times New Roman" w:hAnsi="Times New Roman"/>
          <w:sz w:val="28"/>
        </w:rPr>
        <w:t xml:space="preserve">-кодом, содержащей информацию о воинском захоронении и/или мемориале, с отсылкой на информационный портал в телекоммуникационной сети Интернет, содержащий информацию о воинских захоронениях и/или мемориалах в соответствии с образцом таблички QR-кода воинских захоронений, надгробий, памятников, стел, обелисков, элементов ограждения и других мемориальных сооружений и объектов, </w:t>
      </w:r>
      <w:r>
        <w:rPr>
          <w:rFonts w:ascii="Times New Roman" w:hAnsi="Times New Roman"/>
          <w:sz w:val="28"/>
        </w:rPr>
        <w:t>увековечивающих память погибших в годы Великой Отечественной войны, в соответствии с приложением 2 к стандартам благоустройства;</w:t>
      </w:r>
    </w:p>
    <w:p w14:paraId="2B00000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памятным знаком, содержащим информацию о воинском захоронении и/или мемориале, об ответственном за содержание воинского захоронения и/или мемориала, в соответствии с приложением 3 к стандартам благоустройства;</w:t>
      </w:r>
    </w:p>
    <w:p w14:paraId="2C00000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урнами</w:t>
      </w:r>
      <w:r>
        <w:rPr>
          <w:rFonts w:ascii="Times New Roman" w:hAnsi="Times New Roman"/>
          <w:sz w:val="28"/>
        </w:rPr>
        <w:t xml:space="preserve"> для мусора (модель «У-250 перфорированная» уличная)</w:t>
      </w:r>
      <w:r>
        <w:rPr>
          <w:rFonts w:ascii="Times New Roman" w:hAnsi="Times New Roman"/>
          <w:sz w:val="28"/>
        </w:rPr>
        <w:t xml:space="preserve"> на расстоянии не более 1 метра от каждого входа на воинское захоронение и/или мемориал, а также на расстоянии, не превышающем 0,5 метра от каждой скамейки на территории воинского захоронения и/или мемориала, расположенного в границах населенных пунктов;</w:t>
      </w:r>
    </w:p>
    <w:p w14:paraId="2D00000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урнами</w:t>
      </w:r>
      <w:r>
        <w:rPr>
          <w:rFonts w:ascii="Times New Roman" w:hAnsi="Times New Roman"/>
          <w:sz w:val="28"/>
        </w:rPr>
        <w:t xml:space="preserve"> для мусора (модель «У-250 перфорированная» уличная)</w:t>
      </w:r>
      <w:r>
        <w:rPr>
          <w:rFonts w:ascii="Times New Roman" w:hAnsi="Times New Roman"/>
          <w:sz w:val="28"/>
        </w:rPr>
        <w:t xml:space="preserve"> по решению органа местного самоуправления муниципальных образований Тверской области для захоронений и/или мемориалов, расположенных вне границ населенных пунктов;</w:t>
      </w:r>
    </w:p>
    <w:p w14:paraId="2E00000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скамейками:</w:t>
      </w:r>
    </w:p>
    <w:p w14:paraId="2F00000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одной скамейке на каждые 300 квадратных метров территории воинских захоронений и/или мемориалов площадью свыше 500 квадратных метров;</w:t>
      </w:r>
    </w:p>
    <w:p w14:paraId="3000000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одной скамейке на каждые 100 квадратных метров территории, но не менее одной скамейки на территориях воинских захоронений и/или мемориалов площадью не более 500 квадратных метров;</w:t>
      </w:r>
    </w:p>
    <w:p w14:paraId="3100000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ограждением территории воинского захоронения и/или мемориала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возведения посредством устройства ограды высотой от 1 до 2 метров либо высадки живой зеленой изгороди из древесно-кустарниковых пород, препятствующим доступу животных на территорию воинского захоронения и/или мемориала;</w:t>
      </w:r>
    </w:p>
    <w:p w14:paraId="3200000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7) </w:t>
      </w:r>
      <w:r>
        <w:rPr>
          <w:rFonts w:ascii="Times New Roman" w:hAnsi="Times New Roman"/>
          <w:sz w:val="28"/>
        </w:rPr>
        <w:t>контейн</w:t>
      </w:r>
      <w:r>
        <w:rPr>
          <w:rFonts w:ascii="Times New Roman" w:hAnsi="Times New Roman"/>
          <w:sz w:val="28"/>
        </w:rPr>
        <w:t xml:space="preserve">ерной площадкой и контейнерами </w:t>
      </w:r>
      <w:r>
        <w:rPr>
          <w:rFonts w:ascii="Times New Roman" w:hAnsi="Times New Roman"/>
          <w:sz w:val="28"/>
        </w:rPr>
        <w:t>для сбора отходов от уборки те</w:t>
      </w:r>
      <w:r>
        <w:rPr>
          <w:rFonts w:ascii="Times New Roman" w:hAnsi="Times New Roman"/>
          <w:sz w:val="28"/>
        </w:rPr>
        <w:t xml:space="preserve">рриторий воинских захоронений </w:t>
      </w:r>
      <w:r>
        <w:rPr>
          <w:rFonts w:ascii="Times New Roman" w:hAnsi="Times New Roman"/>
          <w:sz w:val="28"/>
        </w:rPr>
        <w:t>и/или мемориалов площадью свыше 500 квадратных метров</w:t>
      </w:r>
      <w:r>
        <w:rPr>
          <w:rFonts w:ascii="Times New Roman" w:hAnsi="Times New Roman"/>
          <w:sz w:val="28"/>
        </w:rPr>
        <w:t>;</w:t>
      </w:r>
    </w:p>
    <w:p w14:paraId="3300000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схемой или планом с обозначением административных зданий, участков, дорожек, исторических мест, мест общего пользования и других объектов на территориях воинских захоронений и/или мемориалов площадью свыше 500 квадратных метров. Схема или план должны быть размещены на расстоянии не более 5 метров от главного входа на воинское захоронение и/или мемориал.</w:t>
      </w:r>
    </w:p>
    <w:p w14:paraId="3400000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Территория воинского захоронения и/или мемориала должна предусматривать:</w:t>
      </w:r>
    </w:p>
    <w:p w14:paraId="3500000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дорожки для прохода пешеходов с покрытием твердого или переходного типа. Дорожки должны обеспечивать круглогодичный проход посетителей к местам захоронения и иным объектам на территории воинского захоронения и/или мемориала. На дорожках устанавливаются указатели номеров участков воинского захоронения и наименования мемориальных сооружений, если территория воинского захоронения и/или </w:t>
      </w:r>
      <w:r>
        <w:rPr>
          <w:rFonts w:ascii="Times New Roman" w:hAnsi="Times New Roman"/>
          <w:sz w:val="28"/>
        </w:rPr>
        <w:t>мемориала разделена на участки или на территории воинского захоронения и/или мемориала расположены мемориальные сооружения;</w:t>
      </w:r>
    </w:p>
    <w:p w14:paraId="3600000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газоны (высота травостоя не должна превышать 20 сантиметров);</w:t>
      </w:r>
    </w:p>
    <w:p w14:paraId="3700000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цветники.</w:t>
      </w:r>
    </w:p>
    <w:p w14:paraId="3800000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 Эскизы памятников, изготавливаемых </w:t>
      </w:r>
      <w:r>
        <w:rPr>
          <w:rFonts w:ascii="Times New Roman" w:hAnsi="Times New Roman"/>
          <w:sz w:val="28"/>
        </w:rPr>
        <w:t>муниципальным образованием</w:t>
      </w:r>
      <w:r>
        <w:rPr>
          <w:rFonts w:ascii="Times New Roman" w:hAnsi="Times New Roman"/>
          <w:sz w:val="28"/>
        </w:rPr>
        <w:t xml:space="preserve"> Тверской области в индивидуальном порядке, проектов монументов для установки на территории воинских захоронений и/или мемориалов подлежат согласованию в соответствии с законодательством.</w:t>
      </w:r>
    </w:p>
    <w:p w14:paraId="3900000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Все работы на территории воинского захоронения и/или мемориала, связанные с установкой или заменой надмогильных сооружений, производятся по решению их собственников с обязательной регистрацией в учетной карточке.</w:t>
      </w:r>
    </w:p>
    <w:p w14:paraId="3A00000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Заполненная учетная карточка сдается в архив </w:t>
      </w:r>
      <w:r>
        <w:rPr>
          <w:rFonts w:ascii="Times New Roman" w:hAnsi="Times New Roman"/>
          <w:sz w:val="28"/>
        </w:rPr>
        <w:t xml:space="preserve">администрации Сандовского района </w:t>
      </w:r>
      <w:r>
        <w:rPr>
          <w:rFonts w:ascii="Times New Roman" w:hAnsi="Times New Roman"/>
          <w:sz w:val="28"/>
        </w:rPr>
        <w:t>Тверской области и подлежит бессрочному хранению.</w:t>
      </w:r>
    </w:p>
    <w:p w14:paraId="3B00000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Содержание территории воинских захоронений и/или мемориалов включает:</w:t>
      </w:r>
    </w:p>
    <w:p w14:paraId="3C00000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в летний период:</w:t>
      </w:r>
    </w:p>
    <w:p w14:paraId="3D00000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уборку территории, дорог, аллей;</w:t>
      </w:r>
    </w:p>
    <w:p w14:paraId="3E00000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сбор </w:t>
      </w:r>
      <w:r>
        <w:rPr>
          <w:rFonts w:ascii="Times New Roman" w:hAnsi="Times New Roman"/>
          <w:sz w:val="28"/>
        </w:rPr>
        <w:t xml:space="preserve">мусора в контейнеры для сбора отходов </w:t>
      </w:r>
      <w:r>
        <w:rPr>
          <w:rFonts w:ascii="Times New Roman" w:hAnsi="Times New Roman"/>
          <w:sz w:val="28"/>
        </w:rPr>
        <w:t xml:space="preserve">от уборки территорий воинских </w:t>
      </w:r>
      <w:r>
        <w:rPr>
          <w:rFonts w:ascii="Times New Roman" w:hAnsi="Times New Roman"/>
          <w:sz w:val="28"/>
        </w:rPr>
        <w:t>захоронений и/или мемориалов</w:t>
      </w:r>
      <w:r>
        <w:rPr>
          <w:rFonts w:ascii="Times New Roman" w:hAnsi="Times New Roman"/>
          <w:sz w:val="28"/>
        </w:rPr>
        <w:t>;</w:t>
      </w:r>
    </w:p>
    <w:p w14:paraId="3F00000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поливку дорожек, цветников и газонов;</w:t>
      </w:r>
    </w:p>
    <w:p w14:paraId="4000000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выкашивание газонов;</w:t>
      </w:r>
    </w:p>
    <w:p w14:paraId="4100000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 крон деревьев и кустарников;</w:t>
      </w:r>
    </w:p>
    <w:p w14:paraId="4200000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побелку деревьев и бордюрного камня;</w:t>
      </w:r>
    </w:p>
    <w:p w14:paraId="4300000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окраску оград и скамеек, текущий ремонт воинских захоронений и/или мемориалов;</w:t>
      </w:r>
    </w:p>
    <w:p w14:paraId="4400000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уборку могил (промывку надгробий, посыпку песком дорожек, стрижку травы и посадку цветов);</w:t>
      </w:r>
    </w:p>
    <w:p w14:paraId="4500000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погрузка </w:t>
      </w:r>
      <w:r>
        <w:rPr>
          <w:rFonts w:ascii="Times New Roman" w:hAnsi="Times New Roman"/>
          <w:sz w:val="28"/>
        </w:rPr>
        <w:t xml:space="preserve">и вывоз отходов от уборки территорий воинских захоронений </w:t>
      </w:r>
    </w:p>
    <w:p w14:paraId="46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и/или мемориалов</w:t>
      </w:r>
      <w:r>
        <w:rPr>
          <w:rFonts w:ascii="Times New Roman" w:hAnsi="Times New Roman"/>
          <w:sz w:val="28"/>
        </w:rPr>
        <w:t>;</w:t>
      </w:r>
    </w:p>
    <w:p w14:paraId="4700000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в зимний период:</w:t>
      </w:r>
    </w:p>
    <w:p w14:paraId="4800000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очистку аллей от снега с последующей посыпкой противогололедными средствами (допускается складировать снег на газоны и свободные территории при обеспечении сохранности зеленых насаждений);</w:t>
      </w:r>
    </w:p>
    <w:p w14:paraId="4900000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уборку могил от снега и льда;</w:t>
      </w:r>
    </w:p>
    <w:p w14:paraId="4A00000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сбор </w:t>
      </w:r>
      <w:r>
        <w:rPr>
          <w:rFonts w:ascii="Times New Roman" w:hAnsi="Times New Roman"/>
          <w:sz w:val="28"/>
        </w:rPr>
        <w:t xml:space="preserve">мусора в контейнеры для сбора отходов </w:t>
      </w:r>
      <w:r>
        <w:rPr>
          <w:rFonts w:ascii="Times New Roman" w:hAnsi="Times New Roman"/>
          <w:sz w:val="28"/>
        </w:rPr>
        <w:t xml:space="preserve">от уборки территорий воинских </w:t>
      </w:r>
      <w:r>
        <w:rPr>
          <w:rFonts w:ascii="Times New Roman" w:hAnsi="Times New Roman"/>
          <w:sz w:val="28"/>
        </w:rPr>
        <w:t>захоронений и/или мемориалов</w:t>
      </w:r>
      <w:r>
        <w:rPr>
          <w:rFonts w:ascii="Times New Roman" w:hAnsi="Times New Roman"/>
          <w:sz w:val="28"/>
        </w:rPr>
        <w:t>;</w:t>
      </w:r>
    </w:p>
    <w:p w14:paraId="4B00000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очистку скамеек от снега;</w:t>
      </w:r>
    </w:p>
    <w:p w14:paraId="4C000000">
      <w:pPr>
        <w:pStyle w:val="Style_3"/>
        <w:numPr>
          <w:ilvl w:val="0"/>
          <w:numId w:val="2"/>
        </w:num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 период межсезонья:</w:t>
      </w:r>
    </w:p>
    <w:p w14:paraId="4D000000">
      <w:pPr>
        <w:pStyle w:val="Style_3"/>
        <w:spacing w:after="0" w:line="240" w:lineRule="auto"/>
        <w:ind w:firstLine="0" w:left="709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подметание территории, дорог, аллей;</w:t>
      </w:r>
    </w:p>
    <w:p w14:paraId="4E00000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сбор </w:t>
      </w:r>
      <w:r>
        <w:rPr>
          <w:rFonts w:ascii="Times New Roman" w:hAnsi="Times New Roman"/>
          <w:sz w:val="28"/>
        </w:rPr>
        <w:t xml:space="preserve">мусора в контейнеры для сбора отходов </w:t>
      </w:r>
      <w:r>
        <w:rPr>
          <w:rFonts w:ascii="Times New Roman" w:hAnsi="Times New Roman"/>
          <w:sz w:val="28"/>
        </w:rPr>
        <w:t xml:space="preserve">от уборки территорий воинских </w:t>
      </w:r>
      <w:r>
        <w:rPr>
          <w:rFonts w:ascii="Times New Roman" w:hAnsi="Times New Roman"/>
          <w:sz w:val="28"/>
        </w:rPr>
        <w:t>захоронений и/или мемориалов</w:t>
      </w:r>
      <w:r>
        <w:rPr>
          <w:rFonts w:ascii="Times New Roman" w:hAnsi="Times New Roman"/>
          <w:sz w:val="28"/>
        </w:rPr>
        <w:t>.</w:t>
      </w:r>
    </w:p>
    <w:p w14:paraId="4F000000">
      <w:pPr>
        <w:pStyle w:val="Style_4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8.Местные разрушения облицовки, штукатурки, фактурного 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и окрасочного слоев, трещины в штукатурке, выкрашивание раствора из швов облицовки, кирпичной и мелкоблочной кладки, повреждение или износ металлических частей, мокрые и ржавые пятна, потеки и высолы, общее загрязнение поверхности памятников, оснований памятников и надгробий и иных объектов на территории воинского захоронения и/или мемориала, разрушения плиточного и набивного покрытия дорожек должны устраняться не реже одного раза в квартал.</w:t>
      </w:r>
      <w:r>
        <w:rPr>
          <w:rFonts w:ascii="Times New Roman" w:hAnsi="Times New Roman"/>
          <w:color w:val="000000"/>
          <w:sz w:val="28"/>
        </w:rPr>
        <w:t xml:space="preserve"> Указанные работы производятся в </w:t>
      </w:r>
      <w:r>
        <w:rPr>
          <w:rFonts w:ascii="Times New Roman" w:hAnsi="Times New Roman"/>
          <w:color w:val="000000"/>
          <w:sz w:val="28"/>
        </w:rPr>
        <w:t>соответствии</w:t>
      </w:r>
      <w:r>
        <w:rPr>
          <w:rFonts w:ascii="Times New Roman" w:hAnsi="Times New Roman"/>
          <w:color w:val="000000"/>
          <w:sz w:val="28"/>
        </w:rPr>
        <w:t xml:space="preserve"> с положениями Федерального закона от 25.06.2002 №</w:t>
      </w:r>
      <w:r>
        <w:rPr>
          <w:rFonts w:ascii="Times New Roman" w:hAnsi="Times New Roman"/>
          <w:color w:val="000000"/>
          <w:sz w:val="28"/>
        </w:rPr>
        <w:t xml:space="preserve"> 73-ФЗ </w:t>
      </w:r>
      <w:r>
        <w:rPr>
          <w:rFonts w:ascii="Times New Roman" w:hAnsi="Times New Roman"/>
          <w:color w:val="000000"/>
          <w:sz w:val="28"/>
        </w:rPr>
        <w:t>«</w:t>
      </w:r>
      <w:r>
        <w:rPr>
          <w:rFonts w:ascii="Times New Roman" w:hAnsi="Times New Roman"/>
          <w:color w:val="000000"/>
          <w:sz w:val="28"/>
        </w:rPr>
        <w:t>Об объектах культурного наследия (памятниках истории и культуры) народов Российской Федерации».</w:t>
      </w:r>
    </w:p>
    <w:p w14:paraId="5000000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9. </w:t>
      </w:r>
      <w:r>
        <w:rPr>
          <w:rFonts w:ascii="Times New Roman" w:hAnsi="Times New Roman"/>
          <w:sz w:val="28"/>
        </w:rPr>
        <w:t>Муниципальное образование</w:t>
      </w:r>
      <w:r>
        <w:rPr>
          <w:rFonts w:ascii="Times New Roman" w:hAnsi="Times New Roman"/>
          <w:sz w:val="28"/>
        </w:rPr>
        <w:t xml:space="preserve"> Тверской области, ответственн</w:t>
      </w:r>
      <w:r>
        <w:rPr>
          <w:rFonts w:ascii="Times New Roman" w:hAnsi="Times New Roman"/>
          <w:sz w:val="28"/>
        </w:rPr>
        <w:t>ое</w:t>
      </w:r>
      <w:r>
        <w:rPr>
          <w:rFonts w:ascii="Times New Roman" w:hAnsi="Times New Roman"/>
          <w:sz w:val="28"/>
        </w:rPr>
        <w:t xml:space="preserve"> за содержание воинского захоронения и/или мемориала, вправе участвовать в региональных и федеральных программах по благоустройству его прилегающей территории и реконструкции, строительству подъездных дорог.</w:t>
      </w:r>
    </w:p>
    <w:p w14:paraId="5100000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10. Перед проведением ремонтных работ на воинских захоронениях и/или мемориалах, являющихся объектами культурного наследия,</w:t>
      </w:r>
      <w:r>
        <w:rPr>
          <w:rFonts w:ascii="Times New Roman" w:hAnsi="Times New Roman"/>
          <w:sz w:val="28"/>
        </w:rPr>
        <w:t xml:space="preserve"> муниципальное образование</w:t>
      </w:r>
      <w:r>
        <w:rPr>
          <w:rFonts w:ascii="Times New Roman" w:hAnsi="Times New Roman"/>
          <w:sz w:val="28"/>
        </w:rPr>
        <w:t xml:space="preserve"> Тверской области, согласовывает планируемые работы с исполнительным органом государственной области Тверской области, уполномоченным в сфере сохранения, использования, популяризации и государственной охраны объектов культурного наследия.</w:t>
      </w:r>
    </w:p>
    <w:p w14:paraId="5200000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11. На территории воинских захоронений и/или мемориалов посетителям запрещается:</w:t>
      </w:r>
    </w:p>
    <w:p w14:paraId="5300000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ломать зеленые насаждения, рвать цветы;</w:t>
      </w:r>
    </w:p>
    <w:p w14:paraId="5400000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осквернять памятники и/или мемориальные сооружения, в том числе наносить графические изображения;</w:t>
      </w:r>
    </w:p>
    <w:p w14:paraId="5500000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добывать песок и глину, резать дерн;</w:t>
      </w:r>
    </w:p>
    <w:p w14:paraId="5600000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въезжать на территорию воинского захоронения и/или мемориала на транспортных средствах, за исключением инвалидов и престарелых, а также с целью установки надмогильных сооружений (памятники, стелы, ограды и т.п.) при выполнении ремонтных работ;</w:t>
      </w:r>
    </w:p>
    <w:p w14:paraId="5700000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5) </w:t>
      </w:r>
      <w:r>
        <w:rPr>
          <w:rFonts w:ascii="Times New Roman" w:hAnsi="Times New Roman"/>
          <w:sz w:val="28"/>
        </w:rPr>
        <w:t xml:space="preserve">сжигать </w:t>
      </w:r>
      <w:r>
        <w:rPr>
          <w:rFonts w:ascii="Times New Roman" w:hAnsi="Times New Roman"/>
          <w:sz w:val="28"/>
        </w:rPr>
        <w:t>отходы от уборки территорий воинских захоронений и/или мемориалов</w:t>
      </w:r>
      <w:r>
        <w:rPr>
          <w:rFonts w:ascii="Times New Roman" w:hAnsi="Times New Roman"/>
          <w:sz w:val="28"/>
        </w:rPr>
        <w:t>;</w:t>
      </w:r>
    </w:p>
    <w:p w14:paraId="58000000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совершать иные действия, ответственность за которые предусмотрена законодательством.</w:t>
      </w:r>
    </w:p>
    <w:p w14:paraId="59000000">
      <w:pPr>
        <w:ind/>
        <w:jc w:val="both"/>
      </w:pPr>
    </w:p>
    <w:p w14:paraId="5A000000">
      <w:pPr>
        <w:ind/>
        <w:jc w:val="right"/>
        <w:rPr>
          <w:rFonts w:ascii="Times New Roman" w:hAnsi="Times New Roman"/>
          <w:sz w:val="28"/>
        </w:rPr>
      </w:pPr>
    </w:p>
    <w:p w14:paraId="5B000000">
      <w:pPr>
        <w:rPr>
          <w:rFonts w:ascii="Times New Roman" w:hAnsi="Times New Roman"/>
          <w:sz w:val="28"/>
        </w:rPr>
      </w:pPr>
    </w:p>
    <w:p w14:paraId="5C000000">
      <w:pPr>
        <w:rPr>
          <w:rFonts w:ascii="Times New Roman" w:hAnsi="Times New Roman"/>
          <w:sz w:val="28"/>
        </w:rPr>
      </w:pPr>
    </w:p>
    <w:p w14:paraId="5D000000">
      <w:pPr>
        <w:rPr>
          <w:rFonts w:ascii="Times New Roman" w:hAnsi="Times New Roman"/>
          <w:sz w:val="28"/>
        </w:rPr>
      </w:pPr>
    </w:p>
    <w:p w14:paraId="5E000000">
      <w:pPr>
        <w:rPr>
          <w:rFonts w:ascii="Times New Roman" w:hAnsi="Times New Roman"/>
          <w:sz w:val="28"/>
        </w:rPr>
      </w:pPr>
    </w:p>
    <w:p w14:paraId="5F000000">
      <w:pPr>
        <w:rPr>
          <w:rFonts w:ascii="Times New Roman" w:hAnsi="Times New Roman"/>
          <w:sz w:val="28"/>
        </w:rPr>
      </w:pPr>
    </w:p>
    <w:p w14:paraId="60000000">
      <w:pPr>
        <w:rPr>
          <w:rFonts w:ascii="Times New Roman" w:hAnsi="Times New Roman"/>
          <w:sz w:val="28"/>
        </w:rPr>
      </w:pPr>
    </w:p>
    <w:p w14:paraId="61000000">
      <w:pPr>
        <w:rPr>
          <w:rFonts w:ascii="Times New Roman" w:hAnsi="Times New Roman"/>
          <w:sz w:val="28"/>
        </w:rPr>
      </w:pPr>
    </w:p>
    <w:p w14:paraId="62000000">
      <w:pPr>
        <w:rPr>
          <w:rFonts w:ascii="Times New Roman" w:hAnsi="Times New Roman"/>
          <w:sz w:val="28"/>
        </w:rPr>
      </w:pPr>
    </w:p>
    <w:p w14:paraId="63000000">
      <w:pPr>
        <w:rPr>
          <w:rFonts w:ascii="Times New Roman" w:hAnsi="Times New Roman"/>
          <w:sz w:val="28"/>
        </w:rPr>
      </w:pPr>
    </w:p>
    <w:p w14:paraId="64000000">
      <w:pPr>
        <w:rPr>
          <w:rFonts w:ascii="Times New Roman" w:hAnsi="Times New Roman"/>
          <w:sz w:val="28"/>
        </w:rPr>
      </w:pPr>
    </w:p>
    <w:p w14:paraId="65000000">
      <w:pPr>
        <w:rPr>
          <w:rFonts w:ascii="Times New Roman" w:hAnsi="Times New Roman"/>
          <w:sz w:val="28"/>
        </w:rPr>
      </w:pPr>
    </w:p>
    <w:p w14:paraId="66000000">
      <w:pPr>
        <w:rPr>
          <w:rFonts w:ascii="Times New Roman" w:hAnsi="Times New Roman"/>
          <w:sz w:val="28"/>
        </w:rPr>
      </w:pPr>
    </w:p>
    <w:p w14:paraId="67000000">
      <w:pPr>
        <w:rPr>
          <w:rFonts w:ascii="Times New Roman" w:hAnsi="Times New Roman"/>
          <w:sz w:val="28"/>
        </w:rPr>
      </w:pPr>
    </w:p>
    <w:p w14:paraId="68000000">
      <w:pPr>
        <w:rPr>
          <w:rFonts w:ascii="Times New Roman" w:hAnsi="Times New Roman"/>
          <w:sz w:val="28"/>
        </w:rPr>
      </w:pPr>
    </w:p>
    <w:p w14:paraId="69000000">
      <w:pPr>
        <w:rPr>
          <w:rFonts w:ascii="Times New Roman" w:hAnsi="Times New Roman"/>
          <w:sz w:val="28"/>
        </w:rPr>
      </w:pPr>
    </w:p>
    <w:p w14:paraId="6A000000">
      <w:pPr>
        <w:rPr>
          <w:rFonts w:ascii="Times New Roman" w:hAnsi="Times New Roman"/>
          <w:sz w:val="28"/>
        </w:rPr>
      </w:pPr>
    </w:p>
    <w:p w14:paraId="6B000000">
      <w:pPr>
        <w:ind/>
        <w:jc w:val="right"/>
        <w:rPr>
          <w:rFonts w:ascii="Times New Roman" w:hAnsi="Times New Roman"/>
          <w:sz w:val="28"/>
        </w:rPr>
      </w:pPr>
    </w:p>
    <w:p w14:paraId="6C000000">
      <w:pPr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Приложение 1 </w:t>
      </w:r>
    </w:p>
    <w:p w14:paraId="6D000000">
      <w:pPr>
        <w:ind w:firstLine="0" w:left="2124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стандартам благоустройства воинских захоронений, надгробий, памятников, стел, обелисков, элементов ограждения и других мемориальных сооружений и объектов, увековечивающих память погибших в годы</w:t>
      </w:r>
      <w:r>
        <w:rPr>
          <w:rFonts w:ascii="Times New Roman" w:hAnsi="Times New Roman"/>
          <w:sz w:val="28"/>
        </w:rPr>
        <w:t xml:space="preserve"> Великой Отечественной войны, на территории </w:t>
      </w:r>
    </w:p>
    <w:p w14:paraId="6E000000">
      <w:pPr>
        <w:ind w:firstLine="0" w:left="2124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Сандовского района </w:t>
      </w:r>
      <w:r>
        <w:rPr>
          <w:rFonts w:ascii="Times New Roman" w:hAnsi="Times New Roman"/>
          <w:sz w:val="28"/>
        </w:rPr>
        <w:t>Тверской области</w:t>
      </w:r>
    </w:p>
    <w:p w14:paraId="6F000000">
      <w:pPr>
        <w:rPr>
          <w:rFonts w:ascii="Times New Roman" w:hAnsi="Times New Roman"/>
          <w:sz w:val="28"/>
        </w:rPr>
      </w:pPr>
    </w:p>
    <w:p w14:paraId="70000000">
      <w:pPr>
        <w:rPr>
          <w:rFonts w:ascii="Times New Roman" w:hAnsi="Times New Roman"/>
          <w:sz w:val="28"/>
        </w:rPr>
      </w:pPr>
    </w:p>
    <w:p w14:paraId="71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УЧЕТНАЯ КАРТОЧКА</w:t>
      </w:r>
    </w:p>
    <w:p w14:paraId="72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воинского захоронения</w:t>
      </w:r>
    </w:p>
    <w:tbl>
      <w:tblPr>
        <w:tblStyle w:val="Style_1"/>
        <w:tblInd w:type="dxa" w:w="586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1080"/>
      </w:tblGrid>
      <w:tr>
        <w:trPr>
          <w:trHeight w:hRule="atLeast" w:val="180"/>
        </w:trPr>
        <w:tc>
          <w:tcPr>
            <w:tcW w:type="dxa" w:w="1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0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74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                    номер карточки                            </w:t>
      </w:r>
    </w:p>
    <w:tbl>
      <w:tblPr>
        <w:tblStyle w:val="Style_1"/>
      </w:tblPr>
      <w:tblGrid>
        <w:gridCol w:w="4785"/>
        <w:gridCol w:w="4863"/>
      </w:tblGrid>
      <w:tr>
        <w:tc>
          <w:tcPr>
            <w:tcW w:type="dxa" w:w="4785"/>
          </w:tcPr>
          <w:p w14:paraId="75000000">
            <w:pPr>
              <w:ind w:firstLine="357" w:left="720"/>
              <w:rPr>
                <w:rFonts w:ascii="Times New Roman" w:hAnsi="Times New Roman"/>
                <w:sz w:val="28"/>
              </w:rPr>
            </w:pPr>
          </w:p>
          <w:p w14:paraId="76000000">
            <w:pPr>
              <w:pStyle w:val="Style_3"/>
              <w:spacing w:after="0" w:line="240" w:lineRule="auto"/>
              <w:ind w:firstLine="0" w:left="1077"/>
              <w:outlineLvl w:val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1.Место и дата воинского захоронения</w:t>
            </w:r>
          </w:p>
          <w:p w14:paraId="77000000">
            <w:pPr>
              <w:ind w:firstLine="357" w:left="720"/>
              <w:outlineLvl w:val="0"/>
              <w:rPr>
                <w:rFonts w:ascii="Times New Roman" w:hAnsi="Times New Roman"/>
                <w:sz w:val="28"/>
              </w:rPr>
            </w:pPr>
          </w:p>
          <w:p w14:paraId="78000000">
            <w:pPr>
              <w:ind w:firstLine="357" w:left="720"/>
              <w:outlineLvl w:val="0"/>
              <w:rPr>
                <w:rFonts w:ascii="Times New Roman" w:hAnsi="Times New Roman"/>
                <w:sz w:val="28"/>
              </w:rPr>
            </w:pPr>
          </w:p>
          <w:p w14:paraId="79000000">
            <w:pPr>
              <w:pStyle w:val="Style_3"/>
              <w:spacing w:after="0" w:line="240" w:lineRule="auto"/>
              <w:ind w:firstLine="0" w:left="1077"/>
              <w:outlineLvl w:val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2.Вид воинского захоронения</w:t>
            </w:r>
          </w:p>
          <w:p w14:paraId="7A000000">
            <w:pPr>
              <w:ind w:firstLine="357" w:left="720"/>
              <w:outlineLvl w:val="0"/>
              <w:rPr>
                <w:rFonts w:ascii="Times New Roman" w:hAnsi="Times New Roman"/>
                <w:sz w:val="28"/>
              </w:rPr>
            </w:pPr>
          </w:p>
          <w:p w14:paraId="7B000000">
            <w:pPr>
              <w:ind w:firstLine="357" w:left="720"/>
              <w:outlineLvl w:val="0"/>
              <w:rPr>
                <w:rFonts w:ascii="Times New Roman" w:hAnsi="Times New Roman"/>
                <w:sz w:val="28"/>
              </w:rPr>
            </w:pPr>
          </w:p>
          <w:p w14:paraId="7C000000">
            <w:pPr>
              <w:pStyle w:val="Style_3"/>
              <w:spacing w:after="0" w:line="240" w:lineRule="auto"/>
              <w:ind w:firstLine="0" w:left="1077"/>
              <w:outlineLvl w:val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3.Размеры воинского захоронения и его состояние</w:t>
            </w:r>
          </w:p>
          <w:p w14:paraId="7D000000">
            <w:pPr>
              <w:ind w:firstLine="357" w:left="720"/>
              <w:outlineLvl w:val="0"/>
              <w:rPr>
                <w:rFonts w:ascii="Times New Roman" w:hAnsi="Times New Roman"/>
                <w:sz w:val="28"/>
              </w:rPr>
            </w:pPr>
          </w:p>
          <w:p w14:paraId="7E000000">
            <w:pPr>
              <w:ind w:firstLine="357" w:left="720"/>
              <w:outlineLvl w:val="0"/>
              <w:rPr>
                <w:rFonts w:ascii="Times New Roman" w:hAnsi="Times New Roman"/>
                <w:sz w:val="28"/>
              </w:rPr>
            </w:pPr>
          </w:p>
          <w:p w14:paraId="7F000000">
            <w:pPr>
              <w:pStyle w:val="Style_3"/>
              <w:spacing w:after="0" w:line="240" w:lineRule="auto"/>
              <w:ind w:firstLine="0" w:left="1077"/>
              <w:outlineLvl w:val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4.Краткое описание памятника (надгробия) на воинском захоронении</w:t>
            </w:r>
          </w:p>
          <w:p w14:paraId="8000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63"/>
          </w:tcPr>
          <w:p w14:paraId="81000000">
            <w:pPr>
              <w:rPr>
                <w:rFonts w:ascii="Times New Roman" w:hAnsi="Times New Roman"/>
                <w:sz w:val="28"/>
              </w:rPr>
            </w:pPr>
          </w:p>
          <w:p w14:paraId="82000000">
            <w:pPr>
              <w:pStyle w:val="Style_3"/>
              <w:numPr>
                <w:ilvl w:val="0"/>
                <w:numId w:val="3"/>
              </w:numPr>
              <w:spacing w:after="0" w:line="240" w:lineRule="auto"/>
              <w:ind w:firstLine="357" w:left="720"/>
              <w:outlineLvl w:val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___________________________________________________________________________________________________________</w:t>
            </w:r>
          </w:p>
          <w:p w14:paraId="83000000">
            <w:pPr>
              <w:pStyle w:val="Style_3"/>
              <w:numPr>
                <w:ilvl w:val="0"/>
                <w:numId w:val="3"/>
              </w:numPr>
              <w:spacing w:after="0" w:line="240" w:lineRule="auto"/>
              <w:ind w:firstLine="357" w:left="720"/>
              <w:outlineLvl w:val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___________________________________________________________________________________________________________</w:t>
            </w:r>
          </w:p>
          <w:p w14:paraId="84000000">
            <w:pPr>
              <w:pStyle w:val="Style_3"/>
              <w:numPr>
                <w:ilvl w:val="0"/>
                <w:numId w:val="3"/>
              </w:numPr>
              <w:spacing w:after="0" w:line="240" w:lineRule="auto"/>
              <w:ind w:firstLine="357" w:left="720"/>
              <w:outlineLvl w:val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___________________________________________________________________________________________________________</w:t>
            </w:r>
          </w:p>
          <w:p w14:paraId="85000000">
            <w:pPr>
              <w:pStyle w:val="Style_3"/>
              <w:numPr>
                <w:ilvl w:val="0"/>
                <w:numId w:val="3"/>
              </w:numPr>
              <w:spacing w:after="0" w:line="240" w:lineRule="auto"/>
              <w:ind w:firstLine="357" w:left="720"/>
              <w:outlineLvl w:val="0"/>
              <w:rPr>
                <w:rFonts w:ascii="Times New Roman" w:hAnsi="Times New Roman"/>
                <w:sz w:val="28"/>
                <w:u w:val="single"/>
              </w:rPr>
            </w:pPr>
            <w:r>
              <w:rPr>
                <w:rFonts w:ascii="Times New Roman" w:hAnsi="Times New Roman"/>
                <w:sz w:val="28"/>
              </w:rPr>
              <w:t>___________________________________________________________________________________________________________</w:t>
            </w:r>
            <w:r>
              <w:rPr>
                <w:rFonts w:ascii="Times New Roman" w:hAnsi="Times New Roman"/>
                <w:color w:val="FFFFFF"/>
                <w:sz w:val="28"/>
                <w:u w:val="single"/>
              </w:rPr>
              <w:t xml:space="preserve">.  ______________- </w:t>
            </w:r>
          </w:p>
        </w:tc>
      </w:tr>
    </w:tbl>
    <w:p w14:paraId="86000000">
      <w:pPr>
        <w:pStyle w:val="Style_3"/>
        <w:numPr>
          <w:ilvl w:val="0"/>
          <w:numId w:val="4"/>
        </w:numPr>
        <w:spacing w:after="0" w:line="240" w:lineRule="auto"/>
        <w:ind w:firstLine="0" w:left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Количество захороненных:                                                                           </w:t>
      </w:r>
    </w:p>
    <w:p w14:paraId="87000000">
      <w:pPr>
        <w:rPr>
          <w:rFonts w:ascii="Times New Roman" w:hAnsi="Times New Roman"/>
          <w:sz w:val="28"/>
          <w:u w:val="single"/>
        </w:rPr>
      </w:pP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704"/>
        <w:gridCol w:w="2410"/>
        <w:gridCol w:w="3190"/>
        <w:gridCol w:w="3189"/>
      </w:tblGrid>
      <w:tr>
        <w:tc>
          <w:tcPr>
            <w:tcW w:type="dxa" w:w="70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 п/п</w:t>
            </w:r>
          </w:p>
        </w:tc>
        <w:tc>
          <w:tcPr>
            <w:tcW w:type="dxa" w:w="241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Всего</w:t>
            </w:r>
          </w:p>
        </w:tc>
        <w:tc>
          <w:tcPr>
            <w:tcW w:type="dxa" w:w="637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 том числе</w:t>
            </w:r>
          </w:p>
        </w:tc>
      </w:tr>
      <w:tr>
        <w:tc>
          <w:tcPr>
            <w:tcW w:type="dxa" w:w="70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41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известных</w:t>
            </w:r>
          </w:p>
        </w:tc>
        <w:tc>
          <w:tcPr>
            <w:tcW w:type="dxa" w:w="31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неизвестных</w:t>
            </w:r>
          </w:p>
        </w:tc>
      </w:tr>
      <w:tr>
        <w:trPr>
          <w:trHeight w:hRule="atLeast" w:val="253"/>
        </w:trPr>
        <w:tc>
          <w:tcPr>
            <w:tcW w:type="dxa" w:w="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1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253"/>
        </w:trPr>
        <w:tc>
          <w:tcPr>
            <w:tcW w:type="dxa" w:w="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1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</w:tr>
      <w:tr>
        <w:trPr>
          <w:trHeight w:hRule="atLeast" w:val="253"/>
        </w:trPr>
        <w:tc>
          <w:tcPr>
            <w:tcW w:type="dxa" w:w="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1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</w:tr>
    </w:tbl>
    <w:p w14:paraId="99000000">
      <w:pPr>
        <w:rPr>
          <w:rFonts w:ascii="Times New Roman" w:hAnsi="Times New Roman"/>
          <w:sz w:val="28"/>
        </w:rPr>
      </w:pPr>
    </w:p>
    <w:p w14:paraId="9A000000">
      <w:pPr>
        <w:pStyle w:val="Style_3"/>
        <w:numPr>
          <w:ilvl w:val="0"/>
          <w:numId w:val="4"/>
        </w:numPr>
        <w:spacing w:after="0" w:line="240" w:lineRule="auto"/>
        <w:ind w:firstLine="0" w:left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Персональные сведения о захороненных</w:t>
      </w:r>
    </w:p>
    <w:p w14:paraId="9B000000">
      <w:pPr>
        <w:rPr>
          <w:rFonts w:ascii="Times New Roman" w:hAnsi="Times New Roman"/>
          <w:sz w:val="20"/>
        </w:rPr>
      </w:pP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647"/>
        <w:gridCol w:w="1475"/>
        <w:gridCol w:w="2268"/>
        <w:gridCol w:w="1097"/>
        <w:gridCol w:w="1275"/>
        <w:gridCol w:w="1560"/>
        <w:gridCol w:w="1211"/>
      </w:tblGrid>
      <w:tr>
        <w:tc>
          <w:tcPr>
            <w:tcW w:type="dxa" w:w="6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  <w:p w14:paraId="9D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п/п</w:t>
            </w:r>
          </w:p>
        </w:tc>
        <w:tc>
          <w:tcPr>
            <w:tcW w:type="dxa" w:w="1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Воинское</w:t>
            </w:r>
          </w:p>
          <w:p w14:paraId="9F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звание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Ф.И.О.</w:t>
            </w:r>
          </w:p>
        </w:tc>
        <w:tc>
          <w:tcPr>
            <w:tcW w:type="dxa" w:w="1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Год</w:t>
            </w:r>
          </w:p>
          <w:p w14:paraId="A2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рожде-</w:t>
            </w:r>
          </w:p>
          <w:p w14:paraId="A3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ния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Дата</w:t>
            </w:r>
          </w:p>
          <w:p w14:paraId="A5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гибели</w:t>
            </w:r>
          </w:p>
          <w:p w14:paraId="A6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или смерти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захороне</w:t>
            </w: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z w:val="28"/>
              </w:rPr>
              <w:t>ния</w:t>
            </w:r>
          </w:p>
          <w:p w14:paraId="A8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 кладбище,</w:t>
            </w:r>
          </w:p>
          <w:p w14:paraId="A9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участке</w:t>
            </w:r>
          </w:p>
          <w:p w14:paraId="AA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кладбища</w:t>
            </w:r>
          </w:p>
        </w:tc>
        <w:tc>
          <w:tcPr>
            <w:tcW w:type="dxa" w:w="12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Откуда</w:t>
            </w:r>
          </w:p>
          <w:p w14:paraId="AC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переза-</w:t>
            </w:r>
          </w:p>
          <w:p w14:paraId="AD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хоронен</w:t>
            </w:r>
          </w:p>
        </w:tc>
      </w:tr>
      <w:tr>
        <w:tc>
          <w:tcPr>
            <w:tcW w:type="dxa" w:w="6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1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0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0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0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0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0000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0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6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1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6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7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8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9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A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0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6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type="dxa" w:w="1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D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E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F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0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1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00000">
            <w:pPr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6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type="dxa" w:w="14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4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5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6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7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8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00000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CA000000">
      <w:pPr>
        <w:rPr>
          <w:rFonts w:ascii="Times New Roman" w:hAnsi="Times New Roman"/>
          <w:sz w:val="28"/>
        </w:rPr>
      </w:pPr>
    </w:p>
    <w:p w14:paraId="CB000000">
      <w:pPr>
        <w:pStyle w:val="Style_3"/>
        <w:numPr>
          <w:ilvl w:val="0"/>
          <w:numId w:val="4"/>
        </w:numPr>
        <w:spacing w:after="0" w:line="240" w:lineRule="auto"/>
        <w:ind w:firstLine="0" w:left="426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Организация, учреждение, общественное объединение, предприятие, за которыми закреплено шефство над воинским захоронением</w:t>
      </w:r>
      <w:r>
        <w:rPr>
          <w:rFonts w:ascii="Times New Roman" w:hAnsi="Times New Roman"/>
          <w:sz w:val="28"/>
        </w:rPr>
        <w:t>______________</w:t>
      </w:r>
    </w:p>
    <w:p w14:paraId="CC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_________________________________________________________________</w:t>
      </w:r>
    </w:p>
    <w:p w14:paraId="CD000000">
      <w:pPr>
        <w:rPr>
          <w:rFonts w:ascii="Times New Roman" w:hAnsi="Times New Roman"/>
          <w:sz w:val="28"/>
        </w:rPr>
      </w:pPr>
    </w:p>
    <w:p w14:paraId="CE000000">
      <w:pPr>
        <w:rPr>
          <w:rFonts w:ascii="Times New Roman" w:hAnsi="Times New Roman"/>
          <w:sz w:val="12"/>
        </w:rPr>
      </w:pPr>
    </w:p>
    <w:p w14:paraId="CF000000">
      <w:pPr>
        <w:pStyle w:val="Style_3"/>
        <w:numPr>
          <w:ilvl w:val="0"/>
          <w:numId w:val="4"/>
        </w:numPr>
        <w:spacing w:after="0" w:line="240" w:lineRule="auto"/>
        <w:ind w:firstLine="0" w:left="42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Фотоснимок воинского захоронения</w:t>
      </w:r>
    </w:p>
    <w:p w14:paraId="D0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</w:t>
      </w:r>
    </w:p>
    <w:p w14:paraId="D1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место для фотоснимка                                       </w:t>
      </w:r>
    </w:p>
    <w:p w14:paraId="D2000000">
      <w:pPr>
        <w:rPr>
          <w:rFonts w:ascii="Times New Roman" w:hAnsi="Times New Roman"/>
          <w:sz w:val="28"/>
        </w:rPr>
      </w:pPr>
    </w:p>
    <w:p w14:paraId="D3000000">
      <w:pPr>
        <w:pStyle w:val="Style_3"/>
        <w:numPr>
          <w:ilvl w:val="0"/>
          <w:numId w:val="4"/>
        </w:numPr>
        <w:spacing w:after="0" w:line="240" w:lineRule="auto"/>
        <w:ind w:firstLine="0" w:left="42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Схема расположения воинского захоронения</w:t>
      </w:r>
    </w:p>
    <w:p w14:paraId="D4000000">
      <w:pPr>
        <w:rPr>
          <w:rFonts w:ascii="Times New Roman" w:hAnsi="Times New Roman"/>
          <w:sz w:val="28"/>
        </w:rPr>
      </w:pPr>
    </w:p>
    <w:p w14:paraId="D5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    место для схемы </w:t>
      </w:r>
    </w:p>
    <w:p w14:paraId="D6000000">
      <w:pPr>
        <w:rPr>
          <w:rFonts w:ascii="Times New Roman" w:hAnsi="Times New Roman"/>
          <w:sz w:val="28"/>
        </w:rPr>
      </w:pPr>
    </w:p>
    <w:p w14:paraId="D7000000">
      <w:pPr>
        <w:pStyle w:val="Style_3"/>
        <w:numPr>
          <w:ilvl w:val="0"/>
          <w:numId w:val="4"/>
        </w:numPr>
        <w:spacing w:after="0" w:line="240" w:lineRule="auto"/>
        <w:ind w:firstLine="0" w:left="42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Дополнительная информация о воинском захоронении________________ ______________________________________________________________________________________________________________________________</w:t>
      </w:r>
    </w:p>
    <w:p w14:paraId="D8000000">
      <w:pPr>
        <w:rPr>
          <w:rFonts w:ascii="Times New Roman" w:hAnsi="Times New Roman"/>
          <w:sz w:val="28"/>
        </w:rPr>
      </w:pPr>
    </w:p>
    <w:tbl>
      <w:tblPr>
        <w:tblStyle w:val="Style_1"/>
        <w:tblInd w:type="dxa" w:w="-14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9214"/>
      </w:tblGrid>
      <w:tr>
        <w:trPr>
          <w:trHeight w:hRule="atLeast" w:val="667"/>
        </w:trPr>
        <w:tc>
          <w:tcPr>
            <w:tcW w:type="dxa" w:w="921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D9000000">
            <w:pPr>
              <w:pStyle w:val="Style_3"/>
              <w:numPr>
                <w:ilvl w:val="0"/>
                <w:numId w:val="4"/>
              </w:numPr>
              <w:spacing w:after="0" w:line="240" w:lineRule="auto"/>
              <w:ind w:firstLine="0" w:left="46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Представитель Министерства обороны Российской Федерации</w:t>
            </w:r>
          </w:p>
          <w:p w14:paraId="DA000000">
            <w:pPr>
              <w:rPr>
                <w:rFonts w:ascii="Times New Roman" w:hAnsi="Times New Roman"/>
                <w:sz w:val="28"/>
              </w:rPr>
            </w:pPr>
          </w:p>
          <w:p w14:paraId="DB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__________________ / ________________________________________</w:t>
            </w:r>
          </w:p>
        </w:tc>
      </w:tr>
      <w:tr>
        <w:trPr>
          <w:trHeight w:hRule="atLeast" w:val="667"/>
        </w:trPr>
        <w:tc>
          <w:tcPr>
            <w:tcW w:type="dxa" w:w="921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DC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    подпись                                       должность, Ф.И.О.</w:t>
            </w:r>
          </w:p>
        </w:tc>
      </w:tr>
      <w:tr>
        <w:trPr>
          <w:trHeight w:hRule="atLeast" w:val="537"/>
        </w:trPr>
        <w:tc>
          <w:tcPr>
            <w:tcW w:type="dxa" w:w="921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DD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Представитель органа местного самоуправления муниципального образования Тверской области</w:t>
            </w:r>
          </w:p>
          <w:p w14:paraId="DE000000">
            <w:pPr>
              <w:rPr>
                <w:rFonts w:ascii="Times New Roman" w:hAnsi="Times New Roman"/>
                <w:sz w:val="28"/>
              </w:rPr>
            </w:pPr>
          </w:p>
          <w:p w14:paraId="DF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__________________ / ________________________________________ </w:t>
            </w:r>
          </w:p>
        </w:tc>
      </w:tr>
      <w:tr>
        <w:trPr>
          <w:trHeight w:hRule="atLeast" w:val="519"/>
        </w:trPr>
        <w:tc>
          <w:tcPr>
            <w:tcW w:type="dxa" w:w="921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E0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   подпись                                        должность, Ф.И.О.</w:t>
            </w:r>
          </w:p>
        </w:tc>
      </w:tr>
      <w:tr>
        <w:trPr>
          <w:trHeight w:hRule="atLeast" w:val="529"/>
        </w:trPr>
        <w:tc>
          <w:tcPr>
            <w:tcW w:type="dxa" w:w="921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E1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 место </w:t>
            </w:r>
          </w:p>
          <w:p w14:paraId="E2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  печати</w:t>
            </w:r>
          </w:p>
          <w:p w14:paraId="E300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(при наличии)</w:t>
            </w:r>
          </w:p>
        </w:tc>
      </w:tr>
    </w:tbl>
    <w:p w14:paraId="E4000000">
      <w:pPr>
        <w:rPr>
          <w:rFonts w:ascii="Times New Roman" w:hAnsi="Times New Roman"/>
          <w:sz w:val="10"/>
        </w:rPr>
      </w:pPr>
    </w:p>
    <w:p w14:paraId="E5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«__» ______________ 20__ года</w:t>
      </w:r>
    </w:p>
    <w:p w14:paraId="E6000000">
      <w:pPr>
        <w:rPr>
          <w:rFonts w:ascii="Times New Roman" w:hAnsi="Times New Roman"/>
          <w:sz w:val="28"/>
        </w:rPr>
      </w:pPr>
    </w:p>
    <w:p w14:paraId="E7000000">
      <w:pPr>
        <w:rPr>
          <w:rFonts w:ascii="Times New Roman" w:hAnsi="Times New Roman"/>
          <w:sz w:val="14"/>
        </w:rPr>
      </w:pPr>
    </w:p>
    <w:p w14:paraId="E8000000">
      <w:pPr>
        <w:ind/>
        <w:jc w:val="center"/>
        <w:rPr>
          <w:rFonts w:ascii="Times New Roman" w:hAnsi="Times New Roman"/>
          <w:sz w:val="28"/>
        </w:rPr>
      </w:pPr>
    </w:p>
    <w:p w14:paraId="E9000000">
      <w:pPr>
        <w:ind/>
        <w:jc w:val="center"/>
        <w:rPr>
          <w:rFonts w:ascii="Times New Roman" w:hAnsi="Times New Roman"/>
          <w:sz w:val="28"/>
        </w:rPr>
      </w:pPr>
    </w:p>
    <w:p w14:paraId="EA000000">
      <w:pPr>
        <w:ind/>
        <w:jc w:val="center"/>
        <w:rPr>
          <w:rFonts w:ascii="Times New Roman" w:hAnsi="Times New Roman"/>
          <w:sz w:val="28"/>
        </w:rPr>
      </w:pPr>
    </w:p>
    <w:p w14:paraId="EB000000">
      <w:pPr>
        <w:ind/>
        <w:jc w:val="center"/>
        <w:rPr>
          <w:rFonts w:ascii="Times New Roman" w:hAnsi="Times New Roman"/>
          <w:sz w:val="28"/>
        </w:rPr>
      </w:pPr>
    </w:p>
    <w:p w14:paraId="EC000000">
      <w:pPr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Приложение 2 </w:t>
      </w:r>
    </w:p>
    <w:p w14:paraId="ED000000">
      <w:pPr>
        <w:ind w:firstLine="0" w:left="2124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стандартам благоустройства воинских захоронений, надгробий, памятников, стел, обелисков, элементов ограждения и других мемориальных сооружений и объектов, увековечивающих память погибших в годы Великой Отечественной войны, </w:t>
      </w:r>
      <w:r>
        <w:rPr>
          <w:rFonts w:ascii="Times New Roman" w:hAnsi="Times New Roman"/>
          <w:sz w:val="28"/>
        </w:rPr>
        <w:t xml:space="preserve">на территории </w:t>
      </w:r>
    </w:p>
    <w:p w14:paraId="EE000000">
      <w:pPr>
        <w:ind w:firstLine="0" w:left="2124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Сандовского района </w:t>
      </w:r>
      <w:r>
        <w:rPr>
          <w:rFonts w:ascii="Times New Roman" w:hAnsi="Times New Roman"/>
          <w:sz w:val="28"/>
        </w:rPr>
        <w:t xml:space="preserve"> Тверской области</w:t>
      </w:r>
    </w:p>
    <w:p w14:paraId="EF000000">
      <w:pPr>
        <w:rPr>
          <w:rFonts w:ascii="Times New Roman" w:hAnsi="Times New Roman"/>
          <w:sz w:val="28"/>
        </w:rPr>
      </w:pPr>
    </w:p>
    <w:p w14:paraId="F0000000">
      <w:pPr>
        <w:rPr>
          <w:rFonts w:ascii="Times New Roman" w:hAnsi="Times New Roman"/>
          <w:sz w:val="28"/>
        </w:rPr>
      </w:pPr>
    </w:p>
    <w:p w14:paraId="F1000000">
      <w:pPr>
        <w:rPr>
          <w:rFonts w:ascii="Times New Roman" w:hAnsi="Times New Roman"/>
          <w:sz w:val="28"/>
        </w:rPr>
      </w:pPr>
    </w:p>
    <w:p w14:paraId="F2000000">
      <w:pPr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Образец таблички </w:t>
      </w:r>
      <w:r>
        <w:rPr>
          <w:rFonts w:ascii="Times New Roman" w:hAnsi="Times New Roman"/>
          <w:sz w:val="28"/>
        </w:rPr>
        <w:t>QR</w:t>
      </w:r>
      <w:r>
        <w:rPr>
          <w:rFonts w:ascii="Times New Roman" w:hAnsi="Times New Roman"/>
          <w:sz w:val="28"/>
        </w:rPr>
        <w:t xml:space="preserve">-кода </w:t>
      </w:r>
      <w:r>
        <w:rPr>
          <w:rFonts w:ascii="Times New Roman" w:hAnsi="Times New Roman"/>
          <w:sz w:val="28"/>
        </w:rPr>
        <w:t xml:space="preserve">воинских захоронений, надгробий, памятников, стел, обелисков, элементов ограждения и других мемориальных сооружений и объектов, увековечивающих память погибших в годы Великой Отечественной войны, </w:t>
      </w:r>
      <w:r>
        <w:rPr>
          <w:rFonts w:ascii="Times New Roman" w:hAnsi="Times New Roman"/>
          <w:sz w:val="28"/>
        </w:rPr>
        <w:t>на территории Сандовского района</w:t>
      </w:r>
      <w:r>
        <w:rPr>
          <w:rFonts w:ascii="Times New Roman" w:hAnsi="Times New Roman"/>
          <w:sz w:val="28"/>
        </w:rPr>
        <w:t xml:space="preserve"> Тверской области</w:t>
      </w:r>
    </w:p>
    <w:p w14:paraId="F3000000">
      <w:pPr>
        <w:ind/>
        <w:jc w:val="center"/>
        <w:rPr>
          <w:rFonts w:ascii="Times New Roman" w:hAnsi="Times New Roman"/>
          <w:sz w:val="28"/>
        </w:rPr>
      </w:pPr>
    </w:p>
    <w:p w14:paraId="F4000000">
      <w:pPr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Размер таблички: формат А4 (30 см х 20 см (пример 1) или 20 см х 30 см (пример 2);</w:t>
      </w:r>
    </w:p>
    <w:p w14:paraId="F5000000">
      <w:pPr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материал: пластик поливинилхлорид, металл оцинкованный либо с полимерным покрытием;</w:t>
      </w:r>
    </w:p>
    <w:p w14:paraId="F6000000">
      <w:pPr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наличие отбортовки (для размещения на стойках или столбах);</w:t>
      </w:r>
    </w:p>
    <w:p w14:paraId="F7000000">
      <w:pPr>
        <w:pStyle w:val="Style_5"/>
        <w:spacing w:after="0" w:before="0" w:line="315" w:lineRule="atLeast"/>
        <w:ind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>изображение наносится красками стойкими к воздействию окружающей среды (при необходимости осуществляется ламинирование);</w:t>
      </w:r>
    </w:p>
    <w:p w14:paraId="F8000000">
      <w:pPr>
        <w:pStyle w:val="Style_5"/>
        <w:spacing w:after="0" w:before="0" w:line="315" w:lineRule="atLeast"/>
        <w:ind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>поверхность таблички: световозвращающая (для улицы) и несветовозвращающая (для помещения).</w:t>
      </w:r>
    </w:p>
    <w:p w14:paraId="F9000000">
      <w:pPr>
        <w:ind w:firstLine="1560"/>
        <w:rPr>
          <w:rFonts w:ascii="Times New Roman" w:hAnsi="Times New Roman"/>
          <w:sz w:val="28"/>
        </w:rPr>
      </w:pPr>
    </w:p>
    <w:p w14:paraId="FA000000"/>
    <w:p w14:paraId="FB000000"/>
    <w:p w14:paraId="FC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Пример 1   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     </w:t>
      </w:r>
      <w:r>
        <w:rPr>
          <w:rFonts w:ascii="Times New Roman" w:hAnsi="Times New Roman"/>
          <w:sz w:val="28"/>
        </w:rPr>
        <w:t xml:space="preserve">Пример 2 </w:t>
      </w:r>
    </w:p>
    <w:p w14:paraId="FD000000">
      <w:pPr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3368040</wp:posOffset>
            </wp:positionH>
            <wp:positionV relativeFrom="paragraph">
              <wp:posOffset>271780</wp:posOffset>
            </wp:positionV>
            <wp:extent cx="2219325" cy="3133725"/>
            <wp:wrapNone/>
            <wp:docPr id="2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2" r:link=""/>
                    <a:srcRect b="0%" l="0%" r="0%" t="0%"/>
                    <a:stretch/>
                  </pic:blipFill>
                  <pic:spPr>
                    <a:xfrm rot="0">
                      <a:off x="0" y="0"/>
                      <a:ext cx="2219325" cy="313372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-184785</wp:posOffset>
            </wp:positionH>
            <wp:positionV relativeFrom="paragraph">
              <wp:posOffset>500380</wp:posOffset>
            </wp:positionV>
            <wp:extent cx="3038475" cy="2143125"/>
            <wp:wrapNone/>
            <wp:docPr id="3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3" r:link=""/>
                    <a:srcRect b="0%" l="0%" r="0%" t="0%"/>
                    <a:stretch/>
                  </pic:blipFill>
                  <pic:spPr>
                    <a:xfrm rot="0">
                      <a:off x="0" y="0"/>
                      <a:ext cx="3038475" cy="214312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FE000000">
      <w:pPr>
        <w:rPr>
          <w:rFonts w:ascii="Times New Roman" w:hAnsi="Times New Roman"/>
          <w:sz w:val="28"/>
        </w:rPr>
      </w:pPr>
    </w:p>
    <w:p w14:paraId="FF000000">
      <w:pPr>
        <w:rPr>
          <w:rFonts w:ascii="Times New Roman" w:hAnsi="Times New Roman"/>
          <w:sz w:val="28"/>
        </w:rPr>
      </w:pPr>
    </w:p>
    <w:p w14:paraId="00010000">
      <w:pPr>
        <w:rPr>
          <w:rFonts w:ascii="Times New Roman" w:hAnsi="Times New Roman"/>
          <w:sz w:val="28"/>
        </w:rPr>
      </w:pPr>
    </w:p>
    <w:p w14:paraId="01010000">
      <w:pPr>
        <w:rPr>
          <w:rFonts w:ascii="Times New Roman" w:hAnsi="Times New Roman"/>
          <w:sz w:val="28"/>
        </w:rPr>
      </w:pPr>
    </w:p>
    <w:p w14:paraId="02010000">
      <w:pPr>
        <w:rPr>
          <w:rFonts w:ascii="Times New Roman" w:hAnsi="Times New Roman"/>
          <w:sz w:val="28"/>
        </w:rPr>
      </w:pPr>
    </w:p>
    <w:p w14:paraId="03010000">
      <w:pPr>
        <w:rPr>
          <w:rFonts w:ascii="Times New Roman" w:hAnsi="Times New Roman"/>
          <w:sz w:val="28"/>
        </w:rPr>
      </w:pPr>
    </w:p>
    <w:p w14:paraId="04010000">
      <w:pPr>
        <w:rPr>
          <w:rFonts w:ascii="Times New Roman" w:hAnsi="Times New Roman"/>
          <w:sz w:val="28"/>
        </w:rPr>
      </w:pPr>
    </w:p>
    <w:p w14:paraId="05010000">
      <w:pPr>
        <w:rPr>
          <w:rFonts w:ascii="Times New Roman" w:hAnsi="Times New Roman"/>
          <w:sz w:val="28"/>
        </w:rPr>
      </w:pPr>
    </w:p>
    <w:p w14:paraId="06010000">
      <w:pPr>
        <w:rPr>
          <w:rFonts w:ascii="Times New Roman" w:hAnsi="Times New Roman"/>
          <w:sz w:val="28"/>
        </w:rPr>
      </w:pPr>
    </w:p>
    <w:p w14:paraId="07010000">
      <w:pPr>
        <w:ind/>
        <w:jc w:val="right"/>
        <w:rPr>
          <w:rFonts w:ascii="Times New Roman" w:hAnsi="Times New Roman"/>
          <w:sz w:val="28"/>
        </w:rPr>
      </w:pPr>
    </w:p>
    <w:p w14:paraId="08010000">
      <w:pPr>
        <w:ind/>
        <w:jc w:val="right"/>
        <w:rPr>
          <w:rFonts w:ascii="Times New Roman" w:hAnsi="Times New Roman"/>
          <w:sz w:val="28"/>
        </w:rPr>
      </w:pPr>
    </w:p>
    <w:p w14:paraId="09010000">
      <w:pPr>
        <w:ind/>
        <w:jc w:val="right"/>
        <w:rPr>
          <w:rFonts w:ascii="Times New Roman" w:hAnsi="Times New Roman"/>
          <w:sz w:val="28"/>
        </w:rPr>
      </w:pPr>
    </w:p>
    <w:p w14:paraId="0A010000">
      <w:pPr>
        <w:ind/>
        <w:jc w:val="right"/>
        <w:rPr>
          <w:rFonts w:ascii="Times New Roman" w:hAnsi="Times New Roman"/>
          <w:sz w:val="28"/>
        </w:rPr>
      </w:pPr>
    </w:p>
    <w:p w14:paraId="0B010000">
      <w:pPr>
        <w:ind/>
        <w:jc w:val="right"/>
        <w:rPr>
          <w:rFonts w:ascii="Times New Roman" w:hAnsi="Times New Roman"/>
          <w:sz w:val="28"/>
        </w:rPr>
      </w:pPr>
    </w:p>
    <w:p w14:paraId="0C010000">
      <w:pPr>
        <w:ind/>
        <w:jc w:val="right"/>
        <w:rPr>
          <w:rFonts w:ascii="Times New Roman" w:hAnsi="Times New Roman"/>
          <w:sz w:val="28"/>
        </w:rPr>
      </w:pPr>
    </w:p>
    <w:p w14:paraId="0D010000">
      <w:pPr>
        <w:ind/>
        <w:jc w:val="right"/>
        <w:rPr>
          <w:rFonts w:ascii="Times New Roman" w:hAnsi="Times New Roman"/>
          <w:sz w:val="28"/>
        </w:rPr>
      </w:pPr>
    </w:p>
    <w:p w14:paraId="0E010000">
      <w:pPr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 3</w:t>
      </w:r>
    </w:p>
    <w:p w14:paraId="0F010000">
      <w:pPr>
        <w:ind w:firstLine="0" w:left="2124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стандартам благоустройства воинских захоронений, надгробий, памятников, стел, обелисков, элементов ограждения и других мемориальных сооружений и объектов, увековечивающих память погибших в годы Великой Отечественной войны, </w:t>
      </w:r>
      <w:r>
        <w:rPr>
          <w:rFonts w:ascii="Times New Roman" w:hAnsi="Times New Roman"/>
          <w:sz w:val="28"/>
        </w:rPr>
        <w:t xml:space="preserve">на территории Сандовского района </w:t>
      </w:r>
      <w:r>
        <w:rPr>
          <w:rFonts w:ascii="Times New Roman" w:hAnsi="Times New Roman"/>
          <w:sz w:val="28"/>
        </w:rPr>
        <w:t xml:space="preserve"> Тверской области</w:t>
      </w:r>
    </w:p>
    <w:p w14:paraId="10010000">
      <w:pPr>
        <w:ind/>
        <w:jc w:val="right"/>
        <w:rPr>
          <w:rFonts w:ascii="Times New Roman" w:hAnsi="Times New Roman"/>
          <w:sz w:val="28"/>
        </w:rPr>
      </w:pPr>
    </w:p>
    <w:p w14:paraId="11010000">
      <w:pPr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Образец памятного знака </w:t>
      </w:r>
      <w:r>
        <w:rPr>
          <w:rFonts w:ascii="Times New Roman" w:hAnsi="Times New Roman"/>
          <w:sz w:val="28"/>
        </w:rPr>
        <w:t xml:space="preserve">воинских захоронений, надгробий, памятников, стел, обелисков, элементов ограждения и других мемориальных сооружений и объектов, увековечивающих память погибших в годы Великой Отечественной войны, </w:t>
      </w:r>
      <w:r>
        <w:rPr>
          <w:rFonts w:ascii="Times New Roman" w:hAnsi="Times New Roman"/>
          <w:sz w:val="28"/>
        </w:rPr>
        <w:t xml:space="preserve"> на территории Сандовского района</w:t>
      </w:r>
      <w:r>
        <w:rPr>
          <w:rFonts w:ascii="Times New Roman" w:hAnsi="Times New Roman"/>
          <w:sz w:val="28"/>
        </w:rPr>
        <w:t xml:space="preserve"> Тверской области</w:t>
      </w:r>
    </w:p>
    <w:p w14:paraId="12010000">
      <w:pPr>
        <w:ind/>
        <w:jc w:val="right"/>
        <w:rPr>
          <w:rFonts w:ascii="Times New Roman" w:hAnsi="Times New Roman"/>
          <w:sz w:val="28"/>
        </w:rPr>
      </w:pPr>
    </w:p>
    <w:p w14:paraId="13010000">
      <w:pPr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5609476" cy="4171950"/>
            <wp:docPr id="4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4" r:link=""/>
                    <a:srcRect b="14.058%" l="26.296%" r="16.141%" t="17.445%"/>
                    <a:stretch/>
                  </pic:blipFill>
                  <pic:spPr>
                    <a:xfrm rot="0">
                      <a:off x="0" y="0"/>
                      <a:ext cx="5609476" cy="417195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w="11906"/>
      <w:pgMar w:bottom="1134" w:footer="708" w:gutter="0" w:header="708" w:left="1134" w:right="851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mc:Ignorable="co w14 x14 w15">
  <w:abstractNum w:abstractNumId="0">
    <w:lvl w:ilvl="0">
      <w:start w:val="1"/>
      <w:numFmt w:val="decimal"/>
      <w:lvlText w:val="%1)"/>
      <w:lvlJc w:val="left"/>
      <w:pPr>
        <w:ind w:hanging="360" w:left="1069"/>
      </w:pPr>
    </w:lvl>
    <w:lvl w:ilvl="1">
      <w:start w:val="1"/>
      <w:numFmt w:val="lowerLetter"/>
      <w:lvlText w:val="%2."/>
      <w:lvlJc w:val="left"/>
      <w:pPr>
        <w:ind w:hanging="360" w:left="1789"/>
      </w:pPr>
    </w:lvl>
    <w:lvl w:ilvl="2">
      <w:start w:val="1"/>
      <w:numFmt w:val="lowerRoman"/>
      <w:lvlText w:val="%3."/>
      <w:lvlJc w:val="right"/>
      <w:pPr>
        <w:ind w:hanging="180" w:left="2509"/>
      </w:pPr>
    </w:lvl>
    <w:lvl w:ilvl="3">
      <w:start w:val="1"/>
      <w:numFmt w:val="decimal"/>
      <w:lvlText w:val="%4."/>
      <w:lvlJc w:val="left"/>
      <w:pPr>
        <w:ind w:hanging="360" w:left="3229"/>
      </w:pPr>
    </w:lvl>
    <w:lvl w:ilvl="4">
      <w:start w:val="1"/>
      <w:numFmt w:val="lowerLetter"/>
      <w:lvlText w:val="%5."/>
      <w:lvlJc w:val="left"/>
      <w:pPr>
        <w:ind w:hanging="360" w:left="3949"/>
      </w:pPr>
    </w:lvl>
    <w:lvl w:ilvl="5">
      <w:start w:val="1"/>
      <w:numFmt w:val="lowerRoman"/>
      <w:lvlText w:val="%6."/>
      <w:lvlJc w:val="right"/>
      <w:pPr>
        <w:ind w:hanging="180" w:left="4669"/>
      </w:pPr>
    </w:lvl>
    <w:lvl w:ilvl="6">
      <w:start w:val="1"/>
      <w:numFmt w:val="decimal"/>
      <w:lvlText w:val="%7."/>
      <w:lvlJc w:val="left"/>
      <w:pPr>
        <w:ind w:hanging="360" w:left="5389"/>
      </w:pPr>
    </w:lvl>
    <w:lvl w:ilvl="7">
      <w:start w:val="1"/>
      <w:numFmt w:val="lowerLetter"/>
      <w:lvlText w:val="%8."/>
      <w:lvlJc w:val="left"/>
      <w:pPr>
        <w:ind w:hanging="360" w:left="6109"/>
      </w:pPr>
    </w:lvl>
    <w:lvl w:ilvl="8">
      <w:start w:val="1"/>
      <w:numFmt w:val="lowerRoman"/>
      <w:lvlText w:val="%9."/>
      <w:lvlJc w:val="right"/>
      <w:pPr>
        <w:ind w:hanging="180" w:left="6829"/>
      </w:pPr>
    </w:lvl>
  </w:abstractNum>
  <w:abstractNum w:abstractNumId="1">
    <w:lvl w:ilvl="0">
      <w:start w:val="3"/>
      <w:numFmt w:val="decimal"/>
      <w:lvlText w:val="%1)"/>
      <w:lvlJc w:val="left"/>
      <w:pPr>
        <w:ind w:hanging="360" w:left="1069"/>
      </w:pPr>
    </w:lvl>
    <w:lvl w:ilvl="1">
      <w:start w:val="1"/>
      <w:numFmt w:val="lowerLetter"/>
      <w:lvlText w:val="%2."/>
      <w:lvlJc w:val="left"/>
      <w:pPr>
        <w:ind w:hanging="360" w:left="1789"/>
      </w:pPr>
    </w:lvl>
    <w:lvl w:ilvl="2">
      <w:start w:val="1"/>
      <w:numFmt w:val="lowerRoman"/>
      <w:lvlText w:val="%3."/>
      <w:lvlJc w:val="right"/>
      <w:pPr>
        <w:ind w:hanging="180" w:left="2509"/>
      </w:pPr>
    </w:lvl>
    <w:lvl w:ilvl="3">
      <w:start w:val="1"/>
      <w:numFmt w:val="decimal"/>
      <w:lvlText w:val="%4."/>
      <w:lvlJc w:val="left"/>
      <w:pPr>
        <w:ind w:hanging="360" w:left="3229"/>
      </w:pPr>
    </w:lvl>
    <w:lvl w:ilvl="4">
      <w:start w:val="1"/>
      <w:numFmt w:val="lowerLetter"/>
      <w:lvlText w:val="%5."/>
      <w:lvlJc w:val="left"/>
      <w:pPr>
        <w:ind w:hanging="360" w:left="3949"/>
      </w:pPr>
    </w:lvl>
    <w:lvl w:ilvl="5">
      <w:start w:val="1"/>
      <w:numFmt w:val="lowerRoman"/>
      <w:lvlText w:val="%6."/>
      <w:lvlJc w:val="right"/>
      <w:pPr>
        <w:ind w:hanging="180" w:left="4669"/>
      </w:pPr>
    </w:lvl>
    <w:lvl w:ilvl="6">
      <w:start w:val="1"/>
      <w:numFmt w:val="decimal"/>
      <w:lvlText w:val="%7."/>
      <w:lvlJc w:val="left"/>
      <w:pPr>
        <w:ind w:hanging="360" w:left="5389"/>
      </w:pPr>
    </w:lvl>
    <w:lvl w:ilvl="7">
      <w:start w:val="1"/>
      <w:numFmt w:val="lowerLetter"/>
      <w:lvlText w:val="%8."/>
      <w:lvlJc w:val="left"/>
      <w:pPr>
        <w:ind w:hanging="360" w:left="6109"/>
      </w:pPr>
    </w:lvl>
    <w:lvl w:ilvl="8">
      <w:start w:val="1"/>
      <w:numFmt w:val="lowerRoman"/>
      <w:lvlText w:val="%9."/>
      <w:lvlJc w:val="right"/>
      <w:pPr>
        <w:ind w:hanging="180" w:left="6829"/>
      </w:pPr>
    </w:lvl>
  </w:abstractNum>
  <w:abstractNum w:abstractNumId="2">
    <w:lvl w:ilvl="0">
      <w:start w:val="1"/>
      <w:numFmt w:val="decimal"/>
      <w:lvlText w:val="%1."/>
      <w:lvlJc w:val="left"/>
      <w:pPr>
        <w:ind w:hanging="360" w:left="1437"/>
      </w:pPr>
    </w:lvl>
    <w:lvl w:ilvl="1">
      <w:start w:val="1"/>
      <w:numFmt w:val="lowerLetter"/>
      <w:lvlText w:val="%2."/>
      <w:lvlJc w:val="left"/>
      <w:pPr>
        <w:ind w:hanging="360" w:left="2157"/>
      </w:pPr>
    </w:lvl>
    <w:lvl w:ilvl="2">
      <w:start w:val="1"/>
      <w:numFmt w:val="lowerRoman"/>
      <w:lvlText w:val="%3."/>
      <w:lvlJc w:val="right"/>
      <w:pPr>
        <w:ind w:hanging="180" w:left="2877"/>
      </w:pPr>
    </w:lvl>
    <w:lvl w:ilvl="3">
      <w:start w:val="1"/>
      <w:numFmt w:val="decimal"/>
      <w:lvlText w:val="%4."/>
      <w:lvlJc w:val="left"/>
      <w:pPr>
        <w:ind w:hanging="360" w:left="3597"/>
      </w:pPr>
    </w:lvl>
    <w:lvl w:ilvl="4">
      <w:start w:val="1"/>
      <w:numFmt w:val="lowerLetter"/>
      <w:lvlText w:val="%5."/>
      <w:lvlJc w:val="left"/>
      <w:pPr>
        <w:ind w:hanging="360" w:left="4317"/>
      </w:pPr>
    </w:lvl>
    <w:lvl w:ilvl="5">
      <w:start w:val="1"/>
      <w:numFmt w:val="lowerRoman"/>
      <w:lvlText w:val="%6."/>
      <w:lvlJc w:val="right"/>
      <w:pPr>
        <w:ind w:hanging="180" w:left="5037"/>
      </w:pPr>
    </w:lvl>
    <w:lvl w:ilvl="6">
      <w:start w:val="1"/>
      <w:numFmt w:val="decimal"/>
      <w:lvlText w:val="%7."/>
      <w:lvlJc w:val="left"/>
      <w:pPr>
        <w:ind w:hanging="360" w:left="5757"/>
      </w:pPr>
    </w:lvl>
    <w:lvl w:ilvl="7">
      <w:start w:val="1"/>
      <w:numFmt w:val="lowerLetter"/>
      <w:lvlText w:val="%8."/>
      <w:lvlJc w:val="left"/>
      <w:pPr>
        <w:ind w:hanging="360" w:left="6477"/>
      </w:pPr>
    </w:lvl>
    <w:lvl w:ilvl="8">
      <w:start w:val="1"/>
      <w:numFmt w:val="lowerRoman"/>
      <w:lvlText w:val="%9."/>
      <w:lvlJc w:val="right"/>
      <w:pPr>
        <w:ind w:hanging="180" w:left="7197"/>
      </w:pPr>
    </w:lvl>
  </w:abstractNum>
  <w:abstractNum w:abstractNumId="3">
    <w:lvl w:ilvl="0">
      <w:start w:val="1"/>
      <w:numFmt w:val="decimal"/>
      <w:lvlText w:val="%1."/>
      <w:lvlJc w:val="left"/>
      <w:pPr>
        <w:ind w:hanging="360" w:left="1077"/>
      </w:pPr>
    </w:lvl>
    <w:lvl w:ilvl="1">
      <w:start w:val="1"/>
      <w:numFmt w:val="lowerLetter"/>
      <w:lvlText w:val="%2."/>
      <w:lvlJc w:val="left"/>
      <w:pPr>
        <w:ind w:hanging="360" w:left="1797"/>
      </w:pPr>
    </w:lvl>
    <w:lvl w:ilvl="2">
      <w:start w:val="1"/>
      <w:numFmt w:val="lowerRoman"/>
      <w:lvlText w:val="%3."/>
      <w:lvlJc w:val="right"/>
      <w:pPr>
        <w:ind w:hanging="180" w:left="2517"/>
      </w:pPr>
    </w:lvl>
    <w:lvl w:ilvl="3">
      <w:start w:val="1"/>
      <w:numFmt w:val="decimal"/>
      <w:lvlText w:val="%4."/>
      <w:lvlJc w:val="left"/>
      <w:pPr>
        <w:ind w:hanging="360" w:left="3237"/>
      </w:pPr>
    </w:lvl>
    <w:lvl w:ilvl="4">
      <w:start w:val="1"/>
      <w:numFmt w:val="lowerLetter"/>
      <w:lvlText w:val="%5."/>
      <w:lvlJc w:val="left"/>
      <w:pPr>
        <w:ind w:hanging="360" w:left="3957"/>
      </w:pPr>
    </w:lvl>
    <w:lvl w:ilvl="5">
      <w:start w:val="1"/>
      <w:numFmt w:val="lowerRoman"/>
      <w:lvlText w:val="%6."/>
      <w:lvlJc w:val="right"/>
      <w:pPr>
        <w:ind w:hanging="180" w:left="4677"/>
      </w:pPr>
    </w:lvl>
    <w:lvl w:ilvl="6">
      <w:start w:val="1"/>
      <w:numFmt w:val="decimal"/>
      <w:lvlText w:val="%7."/>
      <w:lvlJc w:val="left"/>
      <w:pPr>
        <w:ind w:hanging="360" w:left="5397"/>
      </w:pPr>
    </w:lvl>
    <w:lvl w:ilvl="7">
      <w:start w:val="1"/>
      <w:numFmt w:val="lowerLetter"/>
      <w:lvlText w:val="%8."/>
      <w:lvlJc w:val="left"/>
      <w:pPr>
        <w:ind w:hanging="360" w:left="6117"/>
      </w:pPr>
    </w:lvl>
    <w:lvl w:ilvl="8">
      <w:start w:val="1"/>
      <w:numFmt w:val="lowerRoman"/>
      <w:lvlText w:val="%9."/>
      <w:lvlJc w:val="right"/>
      <w:pPr>
        <w:ind w:hanging="180" w:left="6837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6" w:type="paragraph">
    <w:name w:val="Normal"/>
    <w:link w:val="Style_6_ch"/>
    <w:uiPriority w:val="0"/>
    <w:qFormat/>
    <w:pPr>
      <w:spacing w:after="0" w:line="240" w:lineRule="auto"/>
      <w:ind/>
    </w:pPr>
    <w:rPr>
      <w:rFonts w:ascii="Liberation Serif" w:hAnsi="Liberation Serif"/>
      <w:color w:val="000000"/>
      <w:sz w:val="24"/>
    </w:rPr>
  </w:style>
  <w:style w:default="1" w:styleId="Style_6_ch" w:type="character">
    <w:name w:val="Normal"/>
    <w:link w:val="Style_6"/>
    <w:rPr>
      <w:rFonts w:ascii="Liberation Serif" w:hAnsi="Liberation Serif"/>
      <w:color w:val="000000"/>
      <w:sz w:val="24"/>
    </w:rPr>
  </w:style>
  <w:style w:styleId="Style_7" w:type="paragraph">
    <w:name w:val="toc 2"/>
    <w:next w:val="Style_6"/>
    <w:link w:val="Style_7_ch"/>
    <w:uiPriority w:val="39"/>
    <w:pPr>
      <w:ind w:firstLine="0" w:left="200"/>
    </w:pPr>
  </w:style>
  <w:style w:styleId="Style_7_ch" w:type="character">
    <w:name w:val="toc 2"/>
    <w:link w:val="Style_7"/>
  </w:style>
  <w:style w:styleId="Style_8" w:type="paragraph">
    <w:name w:val="toc 4"/>
    <w:next w:val="Style_6"/>
    <w:link w:val="Style_8_ch"/>
    <w:uiPriority w:val="39"/>
    <w:pPr>
      <w:ind w:firstLine="0" w:left="600"/>
    </w:pPr>
  </w:style>
  <w:style w:styleId="Style_8_ch" w:type="character">
    <w:name w:val="toc 4"/>
    <w:link w:val="Style_8"/>
  </w:style>
  <w:style w:styleId="Style_9" w:type="paragraph">
    <w:name w:val="toc 6"/>
    <w:next w:val="Style_6"/>
    <w:link w:val="Style_9_ch"/>
    <w:uiPriority w:val="39"/>
    <w:pPr>
      <w:ind w:firstLine="0" w:left="1000"/>
    </w:pPr>
  </w:style>
  <w:style w:styleId="Style_9_ch" w:type="character">
    <w:name w:val="toc 6"/>
    <w:link w:val="Style_9"/>
  </w:style>
  <w:style w:styleId="Style_10" w:type="paragraph">
    <w:name w:val="toc 7"/>
    <w:next w:val="Style_6"/>
    <w:link w:val="Style_10_ch"/>
    <w:uiPriority w:val="39"/>
    <w:pPr>
      <w:ind w:firstLine="0" w:left="1200"/>
    </w:pPr>
  </w:style>
  <w:style w:styleId="Style_10_ch" w:type="character">
    <w:name w:val="toc 7"/>
    <w:link w:val="Style_10"/>
  </w:style>
  <w:style w:styleId="Style_11" w:type="paragraph">
    <w:name w:val="heading 3"/>
    <w:next w:val="Style_6"/>
    <w:link w:val="Style_11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11_ch" w:type="character">
    <w:name w:val="heading 3"/>
    <w:link w:val="Style_11"/>
    <w:rPr>
      <w:rFonts w:ascii="XO Thames" w:hAnsi="XO Thames"/>
      <w:b w:val="1"/>
      <w:i w:val="1"/>
      <w:color w:val="000000"/>
    </w:rPr>
  </w:style>
  <w:style w:styleId="Style_12" w:type="paragraph">
    <w:name w:val="footer"/>
    <w:basedOn w:val="Style_6"/>
    <w:link w:val="Style_12_ch"/>
    <w:pPr>
      <w:tabs>
        <w:tab w:leader="none" w:pos="4677" w:val="center"/>
        <w:tab w:leader="none" w:pos="9355" w:val="right"/>
      </w:tabs>
      <w:ind/>
    </w:pPr>
  </w:style>
  <w:style w:styleId="Style_12_ch" w:type="character">
    <w:name w:val="footer"/>
    <w:basedOn w:val="Style_6_ch"/>
    <w:link w:val="Style_12"/>
  </w:style>
  <w:style w:styleId="Style_13" w:type="paragraph">
    <w:name w:val="Balloon Text"/>
    <w:basedOn w:val="Style_6"/>
    <w:link w:val="Style_13_ch"/>
    <w:rPr>
      <w:rFonts w:ascii="Tahoma" w:hAnsi="Tahoma"/>
      <w:sz w:val="16"/>
    </w:rPr>
  </w:style>
  <w:style w:styleId="Style_13_ch" w:type="character">
    <w:name w:val="Balloon Text"/>
    <w:basedOn w:val="Style_6_ch"/>
    <w:link w:val="Style_13"/>
    <w:rPr>
      <w:rFonts w:ascii="Tahoma" w:hAnsi="Tahoma"/>
      <w:sz w:val="16"/>
    </w:rPr>
  </w:style>
  <w:style w:styleId="Style_5" w:type="paragraph">
    <w:name w:val="Normal (Web)"/>
    <w:basedOn w:val="Style_6"/>
    <w:link w:val="Style_5_ch"/>
    <w:pPr>
      <w:spacing w:afterAutospacing="on" w:beforeAutospacing="on"/>
      <w:ind/>
    </w:pPr>
    <w:rPr>
      <w:rFonts w:ascii="Times New Roman" w:hAnsi="Times New Roman"/>
      <w:color w:val="000000"/>
    </w:rPr>
  </w:style>
  <w:style w:styleId="Style_5_ch" w:type="character">
    <w:name w:val="Normal (Web)"/>
    <w:basedOn w:val="Style_6_ch"/>
    <w:link w:val="Style_5"/>
    <w:rPr>
      <w:rFonts w:ascii="Times New Roman" w:hAnsi="Times New Roman"/>
      <w:color w:val="000000"/>
    </w:rPr>
  </w:style>
  <w:style w:styleId="Style_14" w:type="paragraph">
    <w:name w:val="toc 3"/>
    <w:next w:val="Style_6"/>
    <w:link w:val="Style_14_ch"/>
    <w:uiPriority w:val="39"/>
    <w:pPr>
      <w:ind w:firstLine="0" w:left="400"/>
    </w:pPr>
  </w:style>
  <w:style w:styleId="Style_14_ch" w:type="character">
    <w:name w:val="toc 3"/>
    <w:link w:val="Style_14"/>
  </w:style>
  <w:style w:styleId="Style_15" w:type="paragraph">
    <w:name w:val="heading 5"/>
    <w:next w:val="Style_6"/>
    <w:link w:val="Style_15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15_ch" w:type="character">
    <w:name w:val="heading 5"/>
    <w:link w:val="Style_15"/>
    <w:rPr>
      <w:rFonts w:ascii="XO Thames" w:hAnsi="XO Thames"/>
      <w:b w:val="1"/>
      <w:color w:val="000000"/>
      <w:sz w:val="22"/>
    </w:rPr>
  </w:style>
  <w:style w:styleId="Style_16" w:type="paragraph">
    <w:name w:val="Default Paragraph Font"/>
    <w:link w:val="Style_16_ch"/>
  </w:style>
  <w:style w:styleId="Style_16_ch" w:type="character">
    <w:name w:val="Default Paragraph Font"/>
    <w:link w:val="Style_16"/>
  </w:style>
  <w:style w:styleId="Style_17" w:type="paragraph">
    <w:name w:val="heading 1"/>
    <w:next w:val="Style_6"/>
    <w:link w:val="Style_17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17_ch" w:type="character">
    <w:name w:val="heading 1"/>
    <w:link w:val="Style_17"/>
    <w:rPr>
      <w:rFonts w:ascii="XO Thames" w:hAnsi="XO Thames"/>
      <w:b w:val="1"/>
      <w:sz w:val="32"/>
    </w:rPr>
  </w:style>
  <w:style w:styleId="Style_18" w:type="paragraph">
    <w:name w:val="header"/>
    <w:basedOn w:val="Style_6"/>
    <w:link w:val="Style_18_ch"/>
    <w:pPr>
      <w:tabs>
        <w:tab w:leader="none" w:pos="4677" w:val="center"/>
        <w:tab w:leader="none" w:pos="9355" w:val="right"/>
      </w:tabs>
      <w:ind/>
    </w:pPr>
  </w:style>
  <w:style w:styleId="Style_18_ch" w:type="character">
    <w:name w:val="header"/>
    <w:basedOn w:val="Style_6_ch"/>
    <w:link w:val="Style_18"/>
  </w:style>
  <w:style w:styleId="Style_19" w:type="paragraph">
    <w:name w:val="Hyperlink"/>
    <w:link w:val="Style_19_ch"/>
    <w:rPr>
      <w:color w:val="0000FF"/>
      <w:u w:val="single"/>
    </w:rPr>
  </w:style>
  <w:style w:styleId="Style_19_ch" w:type="character">
    <w:name w:val="Hyperlink"/>
    <w:link w:val="Style_19"/>
    <w:rPr>
      <w:color w:val="0000FF"/>
      <w:u w:val="single"/>
    </w:rPr>
  </w:style>
  <w:style w:styleId="Style_20" w:type="paragraph">
    <w:name w:val="Footnote"/>
    <w:link w:val="Style_20_ch"/>
    <w:pPr>
      <w:ind/>
      <w:jc w:val="left"/>
    </w:pPr>
    <w:rPr>
      <w:rFonts w:ascii="XO Thames" w:hAnsi="XO Thames"/>
      <w:sz w:val="22"/>
    </w:rPr>
  </w:style>
  <w:style w:styleId="Style_20_ch" w:type="character">
    <w:name w:val="Footnote"/>
    <w:link w:val="Style_20"/>
    <w:rPr>
      <w:rFonts w:ascii="XO Thames" w:hAnsi="XO Thames"/>
      <w:sz w:val="22"/>
    </w:rPr>
  </w:style>
  <w:style w:styleId="Style_21" w:type="paragraph">
    <w:name w:val="toc 1"/>
    <w:next w:val="Style_6"/>
    <w:link w:val="Style_21_ch"/>
    <w:uiPriority w:val="39"/>
    <w:pPr>
      <w:ind w:firstLine="0" w:left="0"/>
    </w:pPr>
    <w:rPr>
      <w:rFonts w:ascii="XO Thames" w:hAnsi="XO Thames"/>
      <w:b w:val="1"/>
    </w:rPr>
  </w:style>
  <w:style w:styleId="Style_21_ch" w:type="character">
    <w:name w:val="toc 1"/>
    <w:link w:val="Style_21"/>
    <w:rPr>
      <w:rFonts w:ascii="XO Thames" w:hAnsi="XO Thames"/>
      <w:b w:val="1"/>
    </w:rPr>
  </w:style>
  <w:style w:styleId="Style_22" w:type="paragraph">
    <w:name w:val="Header and Footer"/>
    <w:link w:val="Style_22_ch"/>
    <w:pPr>
      <w:spacing w:line="360" w:lineRule="auto"/>
      <w:ind/>
    </w:pPr>
    <w:rPr>
      <w:rFonts w:ascii="XO Thames" w:hAnsi="XO Thames"/>
      <w:sz w:val="20"/>
    </w:rPr>
  </w:style>
  <w:style w:styleId="Style_22_ch" w:type="character">
    <w:name w:val="Header and Footer"/>
    <w:link w:val="Style_22"/>
    <w:rPr>
      <w:rFonts w:ascii="XO Thames" w:hAnsi="XO Thames"/>
      <w:sz w:val="20"/>
    </w:rPr>
  </w:style>
  <w:style w:styleId="Style_23" w:type="paragraph">
    <w:name w:val="toc 9"/>
    <w:next w:val="Style_6"/>
    <w:link w:val="Style_23_ch"/>
    <w:uiPriority w:val="39"/>
    <w:pPr>
      <w:ind w:firstLine="0" w:left="1600"/>
    </w:pPr>
  </w:style>
  <w:style w:styleId="Style_23_ch" w:type="character">
    <w:name w:val="toc 9"/>
    <w:link w:val="Style_23"/>
  </w:style>
  <w:style w:styleId="Style_24" w:type="paragraph">
    <w:name w:val="Body Text"/>
    <w:basedOn w:val="Style_6"/>
    <w:link w:val="Style_24_ch"/>
    <w:pPr>
      <w:spacing w:after="140" w:line="288" w:lineRule="auto"/>
      <w:ind/>
    </w:pPr>
  </w:style>
  <w:style w:styleId="Style_24_ch" w:type="character">
    <w:name w:val="Body Text"/>
    <w:basedOn w:val="Style_6_ch"/>
    <w:link w:val="Style_24"/>
  </w:style>
  <w:style w:styleId="Style_4" w:type="paragraph">
    <w:name w:val="HTML Preformatted"/>
    <w:basedOn w:val="Style_6"/>
    <w:link w:val="Style_4_ch"/>
    <w:pPr>
      <w:tabs>
        <w:tab w:leader="none" w:pos="916" w:val="left"/>
        <w:tab w:leader="none" w:pos="1832" w:val="left"/>
        <w:tab w:leader="none" w:pos="2748" w:val="left"/>
        <w:tab w:leader="none" w:pos="3664" w:val="left"/>
        <w:tab w:leader="none" w:pos="4580" w:val="left"/>
        <w:tab w:leader="none" w:pos="5496" w:val="left"/>
        <w:tab w:leader="none" w:pos="6412" w:val="left"/>
        <w:tab w:leader="none" w:pos="7328" w:val="left"/>
        <w:tab w:leader="none" w:pos="8244" w:val="left"/>
        <w:tab w:leader="none" w:pos="9160" w:val="left"/>
        <w:tab w:leader="none" w:pos="10076" w:val="left"/>
        <w:tab w:leader="none" w:pos="10992" w:val="left"/>
        <w:tab w:leader="none" w:pos="11908" w:val="left"/>
        <w:tab w:leader="none" w:pos="12824" w:val="left"/>
        <w:tab w:leader="none" w:pos="13740" w:val="left"/>
        <w:tab w:leader="none" w:pos="14656" w:val="left"/>
      </w:tabs>
      <w:ind/>
    </w:pPr>
    <w:rPr>
      <w:rFonts w:ascii="Courier New" w:hAnsi="Courier New"/>
      <w:color w:val="000000"/>
      <w:sz w:val="20"/>
    </w:rPr>
  </w:style>
  <w:style w:styleId="Style_4_ch" w:type="character">
    <w:name w:val="HTML Preformatted"/>
    <w:basedOn w:val="Style_6_ch"/>
    <w:link w:val="Style_4"/>
    <w:rPr>
      <w:rFonts w:ascii="Courier New" w:hAnsi="Courier New"/>
      <w:color w:val="000000"/>
      <w:sz w:val="20"/>
    </w:rPr>
  </w:style>
  <w:style w:styleId="Style_25" w:type="paragraph">
    <w:name w:val="toc 8"/>
    <w:next w:val="Style_6"/>
    <w:link w:val="Style_25_ch"/>
    <w:uiPriority w:val="39"/>
    <w:pPr>
      <w:ind w:firstLine="0" w:left="1400"/>
    </w:pPr>
  </w:style>
  <w:style w:styleId="Style_25_ch" w:type="character">
    <w:name w:val="toc 8"/>
    <w:link w:val="Style_25"/>
  </w:style>
  <w:style w:styleId="Style_3" w:type="paragraph">
    <w:name w:val="List Paragraph"/>
    <w:basedOn w:val="Style_6"/>
    <w:link w:val="Style_3_ch"/>
    <w:pPr>
      <w:spacing w:after="200" w:line="276" w:lineRule="auto"/>
      <w:ind w:firstLine="0" w:left="720"/>
      <w:contextualSpacing w:val="1"/>
    </w:pPr>
    <w:rPr>
      <w:rFonts w:asciiTheme="minorAscii" w:hAnsiTheme="minorHAnsi"/>
      <w:color w:val="000000"/>
      <w:sz w:val="22"/>
    </w:rPr>
  </w:style>
  <w:style w:styleId="Style_3_ch" w:type="character">
    <w:name w:val="List Paragraph"/>
    <w:basedOn w:val="Style_6_ch"/>
    <w:link w:val="Style_3"/>
    <w:rPr>
      <w:rFonts w:asciiTheme="minorAscii" w:hAnsiTheme="minorHAnsi"/>
      <w:color w:val="000000"/>
      <w:sz w:val="22"/>
    </w:rPr>
  </w:style>
  <w:style w:styleId="Style_26" w:type="paragraph">
    <w:name w:val="toc 5"/>
    <w:next w:val="Style_6"/>
    <w:link w:val="Style_26_ch"/>
    <w:uiPriority w:val="39"/>
    <w:pPr>
      <w:ind w:firstLine="0" w:left="800"/>
    </w:pPr>
  </w:style>
  <w:style w:styleId="Style_26_ch" w:type="character">
    <w:name w:val="toc 5"/>
    <w:link w:val="Style_26"/>
  </w:style>
  <w:style w:styleId="Style_2" w:type="paragraph">
    <w:name w:val="Strong"/>
    <w:basedOn w:val="Style_16"/>
    <w:link w:val="Style_2_ch"/>
    <w:rPr>
      <w:b w:val="1"/>
    </w:rPr>
  </w:style>
  <w:style w:styleId="Style_2_ch" w:type="character">
    <w:name w:val="Strong"/>
    <w:basedOn w:val="Style_16_ch"/>
    <w:link w:val="Style_2"/>
    <w:rPr>
      <w:b w:val="1"/>
    </w:rPr>
  </w:style>
  <w:style w:styleId="Style_27" w:type="paragraph">
    <w:name w:val="Subtitle"/>
    <w:next w:val="Style_6"/>
    <w:link w:val="Style_27_ch"/>
    <w:uiPriority w:val="11"/>
    <w:qFormat/>
    <w:rPr>
      <w:rFonts w:ascii="XO Thames" w:hAnsi="XO Thames"/>
      <w:i w:val="1"/>
      <w:color w:val="616161"/>
      <w:sz w:val="24"/>
    </w:rPr>
  </w:style>
  <w:style w:styleId="Style_27_ch" w:type="character">
    <w:name w:val="Subtitle"/>
    <w:link w:val="Style_27"/>
    <w:rPr>
      <w:rFonts w:ascii="XO Thames" w:hAnsi="XO Thames"/>
      <w:i w:val="1"/>
      <w:color w:val="616161"/>
      <w:sz w:val="24"/>
    </w:rPr>
  </w:style>
  <w:style w:styleId="Style_28" w:type="paragraph">
    <w:name w:val="toc 10"/>
    <w:next w:val="Style_6"/>
    <w:link w:val="Style_28_ch"/>
    <w:uiPriority w:val="39"/>
    <w:pPr>
      <w:ind w:firstLine="0" w:left="1800"/>
    </w:pPr>
  </w:style>
  <w:style w:styleId="Style_28_ch" w:type="character">
    <w:name w:val="toc 10"/>
    <w:link w:val="Style_28"/>
  </w:style>
  <w:style w:styleId="Style_29" w:type="paragraph">
    <w:name w:val="Title"/>
    <w:next w:val="Style_6"/>
    <w:link w:val="Style_29_ch"/>
    <w:uiPriority w:val="10"/>
    <w:qFormat/>
    <w:rPr>
      <w:rFonts w:ascii="XO Thames" w:hAnsi="XO Thames"/>
      <w:b w:val="1"/>
      <w:sz w:val="52"/>
    </w:rPr>
  </w:style>
  <w:style w:styleId="Style_29_ch" w:type="character">
    <w:name w:val="Title"/>
    <w:link w:val="Style_29"/>
    <w:rPr>
      <w:rFonts w:ascii="XO Thames" w:hAnsi="XO Thames"/>
      <w:b w:val="1"/>
      <w:sz w:val="52"/>
    </w:rPr>
  </w:style>
  <w:style w:styleId="Style_30" w:type="paragraph">
    <w:name w:val="heading 4"/>
    <w:next w:val="Style_6"/>
    <w:link w:val="Style_30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30_ch" w:type="character">
    <w:name w:val="heading 4"/>
    <w:link w:val="Style_30"/>
    <w:rPr>
      <w:rFonts w:ascii="XO Thames" w:hAnsi="XO Thames"/>
      <w:b w:val="1"/>
      <w:color w:val="595959"/>
      <w:sz w:val="26"/>
    </w:rPr>
  </w:style>
  <w:style w:styleId="Style_31" w:type="paragraph">
    <w:name w:val="heading 2"/>
    <w:next w:val="Style_6"/>
    <w:link w:val="Style_31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31_ch" w:type="character">
    <w:name w:val="heading 2"/>
    <w:link w:val="Style_31"/>
    <w:rPr>
      <w:rFonts w:ascii="XO Thames" w:hAnsi="XO Thames"/>
      <w:b w:val="1"/>
      <w:color w:val="00A0FF"/>
      <w:sz w:val="26"/>
    </w:r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numbering.xml" Type="http://schemas.openxmlformats.org/officeDocument/2006/relationships/numbering"/>
  <Relationship Id="rId10" Target="theme/theme1.xml" Type="http://schemas.openxmlformats.org/officeDocument/2006/relationships/theme"/>
  <Relationship Id="rId9" Target="webSettings.xml" Type="http://schemas.openxmlformats.org/officeDocument/2006/relationships/webSettings"/>
  <Relationship Id="rId7" Target="styles.xml" Type="http://schemas.openxmlformats.org/officeDocument/2006/relationships/styles"/>
  <Relationship Id="rId6" Target="settings.xml" Type="http://schemas.openxmlformats.org/officeDocument/2006/relationships/settings"/>
  <Relationship Id="rId5" Target="fontTable.xml" Type="http://schemas.openxmlformats.org/officeDocument/2006/relationships/fontTable"/>
  <Relationship Id="rId4" Target="media/4.png" Type="http://schemas.openxmlformats.org/officeDocument/2006/relationships/image"/>
  <Relationship Id="rId8" Target="stylesWithEffects.xml" Type="http://schemas.microsoft.com/office/2007/relationships/stylesWithEffects"/>
  <Relationship Id="rId2" Target="media/2.jpeg" Type="http://schemas.openxmlformats.org/officeDocument/2006/relationships/image"/>
  <Relationship Id="rId3" Target="media/3.jpeg" Type="http://schemas.openxmlformats.org/officeDocument/2006/relationships/image"/>
  <Relationship Id="rId1" Target="media/1.emf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%">
              <a:schemeClr val="phClr">
                <a:tint val="50%"/>
                <a:satMod val="300%"/>
              </a:schemeClr>
            </a:gs>
            <a:gs pos="35%">
              <a:schemeClr val="phClr">
                <a:tint val="37%"/>
                <a:satMod val="300%"/>
              </a:schemeClr>
            </a:gs>
            <a:gs pos="100%">
              <a:schemeClr val="phClr">
                <a:tint val="15%"/>
                <a:satMod val="350%"/>
              </a:schemeClr>
            </a:gs>
          </a:gsLst>
        </a:gradFill>
        <a:gradFill>
          <a:gsLst>
            <a:gs pos="0%">
              <a:schemeClr val="phClr">
                <a:shade val="51%"/>
                <a:satMod val="130%"/>
              </a:schemeClr>
            </a:gs>
            <a:gs pos="80%">
              <a:schemeClr val="phClr">
                <a:shade val="93%"/>
                <a:satMod val="130%"/>
              </a:schemeClr>
            </a:gs>
            <a:gs pos="100%">
              <a:schemeClr val="phClr">
                <a:shade val="94%"/>
                <a:satMod val="135%"/>
              </a:schemeClr>
            </a:gs>
          </a:gsLst>
        </a:gradFill>
      </a:fillStyleLst>
      <a:lnStyleLst>
        <a:ln w="9525">
          <a:solidFill>
            <a:schemeClr val="phClr">
              <a:shade val="95%"/>
              <a:satMod val="105%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%">
              <a:schemeClr val="phClr">
                <a:tint val="40%"/>
                <a:satMod val="350%"/>
              </a:schemeClr>
            </a:gs>
            <a:gs pos="40%">
              <a:schemeClr val="phClr">
                <a:tint val="45%"/>
                <a:shade val="99%"/>
                <a:satMod val="350%"/>
              </a:schemeClr>
            </a:gs>
            <a:gs pos="100%">
              <a:schemeClr val="phClr">
                <a:shade val="20%"/>
                <a:satMod val="255%"/>
              </a:schemeClr>
            </a:gs>
          </a:gsLst>
        </a:gradFill>
        <a:gradFill>
          <a:gsLst>
            <a:gs pos="0%">
              <a:schemeClr val="phClr">
                <a:tint val="80%"/>
                <a:satMod val="300%"/>
              </a:schemeClr>
            </a:gs>
            <a:gs pos="100%">
              <a:schemeClr val="phClr">
                <a:shade val="30%"/>
                <a:satMod val="200%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MyOffice-CoreFramework-Windows/17.2-694.174.3565.329.2@RELEASE-DESKTOP-PARSLEY-RC</Application>
</Properties>
</file>