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p w14:paraId="02000000"/>
    <w:p w14:paraId="03000000">
      <w:r>
        <w:t xml:space="preserve">       </w:t>
      </w:r>
    </w:p>
    <w:p w14:paraId="04000000">
      <w:r>
        <w:t xml:space="preserve">                                                          </w:t>
      </w:r>
      <w:r>
        <w:t xml:space="preserve">              </w:t>
      </w:r>
      <w:r>
        <w:drawing>
          <wp:inline>
            <wp:extent cx="419100" cy="57149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42" l="-52" r="-52" t="-42"/>
                    <a:stretch/>
                  </pic:blipFill>
                  <pic:spPr>
                    <a:xfrm rot="0">
                      <a:ext cx="419100" cy="5714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05000000">
      <w:pPr>
        <w:ind/>
        <w:jc w:val="center"/>
      </w:pP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9000000">
      <w:pPr>
        <w:ind/>
        <w:jc w:val="center"/>
      </w:pPr>
      <w:r>
        <w:rPr>
          <w:b w:val="1"/>
          <w:sz w:val="32"/>
        </w:rPr>
        <w:t xml:space="preserve"> </w:t>
      </w:r>
      <w:r>
        <w:rPr>
          <w:b w:val="1"/>
          <w:sz w:val="40"/>
        </w:rPr>
        <w:t>ПОСТАНОВЛЕНИЕ</w:t>
      </w:r>
    </w:p>
    <w:p w14:paraId="0A000000">
      <w:pPr>
        <w:ind w:right="0"/>
        <w:rPr>
          <w:sz w:val="28"/>
        </w:rPr>
      </w:pPr>
      <w:r>
        <w:rPr>
          <w:sz w:val="28"/>
        </w:rPr>
        <w:t xml:space="preserve">30.06.2020                                         п. Сандово  </w:t>
      </w:r>
      <w:r>
        <w:rPr>
          <w:sz w:val="28"/>
        </w:rPr>
        <w:t xml:space="preserve">                                            № 138 </w:t>
      </w: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</w:t>
      </w:r>
    </w:p>
    <w:p w14:paraId="0B000000">
      <w:pPr>
        <w:ind w:right="5930"/>
        <w:jc w:val="both"/>
        <w:rPr>
          <w:sz w:val="28"/>
        </w:rPr>
      </w:pPr>
    </w:p>
    <w:p w14:paraId="0C000000">
      <w:pPr>
        <w:ind w:right="5363"/>
        <w:jc w:val="both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плана мероприятий по реформированию </w:t>
      </w:r>
    </w:p>
    <w:p w14:paraId="0D000000">
      <w:pPr>
        <w:ind w:right="5363"/>
        <w:jc w:val="both"/>
        <w:rPr>
          <w:sz w:val="28"/>
        </w:rPr>
      </w:pPr>
      <w:r>
        <w:rPr>
          <w:sz w:val="28"/>
        </w:rPr>
        <w:t xml:space="preserve">муниципальных унитарных предприятий, </w:t>
      </w:r>
      <w:r>
        <w:rPr>
          <w:sz w:val="28"/>
        </w:rPr>
        <w:t>находящихся</w:t>
      </w:r>
      <w:r>
        <w:rPr>
          <w:sz w:val="28"/>
        </w:rPr>
        <w:t xml:space="preserve"> в собственности муниципального образования </w:t>
      </w:r>
      <w:r>
        <w:rPr>
          <w:sz w:val="28"/>
        </w:rPr>
        <w:t xml:space="preserve">«Сандовский район»Тверской </w:t>
      </w:r>
      <w:r>
        <w:rPr>
          <w:sz w:val="28"/>
        </w:rPr>
        <w:t>области</w:t>
      </w:r>
    </w:p>
    <w:p w14:paraId="0E000000">
      <w:pPr>
        <w:rPr>
          <w:sz w:val="28"/>
        </w:rPr>
      </w:pPr>
    </w:p>
    <w:p w14:paraId="0F000000">
      <w:pPr>
        <w:ind w:firstLine="851"/>
        <w:jc w:val="both"/>
        <w:rPr>
          <w:sz w:val="24"/>
        </w:rPr>
      </w:pPr>
      <w:r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предприятиях»,</w:t>
      </w:r>
      <w:r>
        <w:rPr>
          <w:sz w:val="24"/>
        </w:rPr>
        <w:t xml:space="preserve"> Федеральным законом от 27.12.2019 №485-ФЗ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>
        <w:rPr>
          <w:sz w:val="24"/>
        </w:rPr>
        <w:t xml:space="preserve"> руководствуясь Уставом муниципального образования </w:t>
      </w:r>
      <w:r>
        <w:rPr>
          <w:sz w:val="24"/>
        </w:rPr>
        <w:t>С</w:t>
      </w:r>
      <w:r>
        <w:rPr>
          <w:sz w:val="24"/>
        </w:rPr>
        <w:t xml:space="preserve">андовский район Тверской </w:t>
      </w:r>
      <w:r>
        <w:rPr>
          <w:sz w:val="24"/>
        </w:rPr>
        <w:t xml:space="preserve"> области</w:t>
      </w:r>
      <w:r>
        <w:rPr>
          <w:sz w:val="24"/>
        </w:rPr>
        <w:t>, администрация Сандовского района</w:t>
      </w:r>
    </w:p>
    <w:p w14:paraId="10000000">
      <w:pPr>
        <w:ind w:firstLine="851"/>
        <w:jc w:val="both"/>
        <w:rPr>
          <w:sz w:val="24"/>
        </w:rPr>
      </w:pPr>
    </w:p>
    <w:p w14:paraId="11000000">
      <w:pPr>
        <w:ind w:firstLine="851"/>
        <w:jc w:val="center"/>
        <w:rPr>
          <w:sz w:val="24"/>
        </w:rPr>
      </w:pPr>
      <w:r>
        <w:rPr>
          <w:sz w:val="24"/>
        </w:rPr>
        <w:t>ПОСТАНОВЛЯЕТ:</w:t>
      </w:r>
    </w:p>
    <w:p w14:paraId="12000000">
      <w:pPr>
        <w:ind w:firstLine="851"/>
        <w:jc w:val="center"/>
        <w:rPr>
          <w:sz w:val="24"/>
        </w:rPr>
      </w:pPr>
    </w:p>
    <w:p w14:paraId="13000000">
      <w:pPr>
        <w:ind w:firstLine="851"/>
        <w:jc w:val="both"/>
        <w:rPr>
          <w:sz w:val="24"/>
        </w:rPr>
      </w:pPr>
      <w:r>
        <w:rPr>
          <w:sz w:val="24"/>
        </w:rPr>
        <w:t xml:space="preserve">1. Утвердить состав рабочей группы по проведению </w:t>
      </w:r>
      <w:r>
        <w:rPr>
          <w:sz w:val="24"/>
        </w:rPr>
        <w:t>реформирования</w:t>
      </w:r>
      <w:r>
        <w:rPr>
          <w:sz w:val="24"/>
        </w:rPr>
        <w:t xml:space="preserve"> муниципальных унитарных предприятий, находящихся в собственности муниципального образования </w:t>
      </w:r>
      <w:r>
        <w:rPr>
          <w:sz w:val="24"/>
        </w:rPr>
        <w:t xml:space="preserve">Сандовский район Тверской </w:t>
      </w:r>
      <w:r>
        <w:rPr>
          <w:sz w:val="24"/>
        </w:rPr>
        <w:t>области</w:t>
      </w:r>
      <w:r>
        <w:rPr>
          <w:sz w:val="24"/>
        </w:rPr>
        <w:t xml:space="preserve">, согласно приложению 1 к </w:t>
      </w:r>
      <w:r>
        <w:rPr>
          <w:sz w:val="24"/>
        </w:rPr>
        <w:t>настоящему постановлению.</w:t>
      </w:r>
    </w:p>
    <w:p w14:paraId="14000000">
      <w:pPr>
        <w:ind w:firstLine="851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 Утвердить </w:t>
      </w:r>
      <w:r>
        <w:rPr>
          <w:sz w:val="24"/>
        </w:rPr>
        <w:t xml:space="preserve">план мероприятий по реформированию муниципальных унитарных предприятий, находящихся в собственности муниципального образования </w:t>
      </w:r>
      <w:r>
        <w:rPr>
          <w:sz w:val="24"/>
        </w:rPr>
        <w:t xml:space="preserve">Сандовский район Тверской </w:t>
      </w:r>
      <w:r>
        <w:rPr>
          <w:sz w:val="24"/>
        </w:rPr>
        <w:t>области</w:t>
      </w:r>
      <w:r>
        <w:rPr>
          <w:sz w:val="24"/>
        </w:rPr>
        <w:t xml:space="preserve"> </w:t>
      </w:r>
      <w:r>
        <w:rPr>
          <w:sz w:val="24"/>
        </w:rPr>
        <w:t xml:space="preserve">на 2020-2024 годы </w:t>
      </w:r>
      <w:r>
        <w:rPr>
          <w:sz w:val="24"/>
        </w:rPr>
        <w:t xml:space="preserve">(далее – План мероприятий), </w:t>
      </w:r>
      <w:r>
        <w:rPr>
          <w:sz w:val="24"/>
        </w:rPr>
        <w:t>согласно приложению</w:t>
      </w:r>
      <w:r>
        <w:rPr>
          <w:sz w:val="24"/>
        </w:rPr>
        <w:t xml:space="preserve"> 2</w:t>
      </w:r>
      <w:r>
        <w:rPr>
          <w:sz w:val="24"/>
        </w:rPr>
        <w:t xml:space="preserve"> к настоящему постановлению.</w:t>
      </w:r>
    </w:p>
    <w:p w14:paraId="15000000">
      <w:pPr>
        <w:ind w:firstLine="851"/>
        <w:jc w:val="both"/>
        <w:rPr>
          <w:sz w:val="24"/>
        </w:rPr>
      </w:pPr>
      <w:r>
        <w:rPr>
          <w:sz w:val="24"/>
        </w:rPr>
        <w:t>3. Утвердить перечень муниципальных унитарных предприятий, подлежащих реорганизации, либо ликвидации, находящихся в собственности муниципального образования Сандовский район Тверской области, согласно приложению 3 к настоящему постановлению.</w:t>
      </w:r>
    </w:p>
    <w:p w14:paraId="16000000">
      <w:pPr>
        <w:ind w:firstLine="851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 xml:space="preserve">Рекомендовать </w:t>
      </w:r>
      <w:r>
        <w:rPr>
          <w:sz w:val="24"/>
        </w:rPr>
        <w:t xml:space="preserve">администрации городского поселения «Поселок Сандово» Тверской области </w:t>
      </w:r>
      <w:r>
        <w:rPr>
          <w:sz w:val="24"/>
        </w:rPr>
        <w:t>разработать и утвердить план мероприятий по реформированию муниципальных унитарных предприятий, находящихся в собственности</w:t>
      </w:r>
      <w:r>
        <w:rPr>
          <w:sz w:val="24"/>
        </w:rPr>
        <w:t xml:space="preserve"> муниципальн</w:t>
      </w:r>
      <w:r>
        <w:rPr>
          <w:sz w:val="24"/>
        </w:rPr>
        <w:t>ого</w:t>
      </w:r>
      <w:r>
        <w:rPr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</w:t>
      </w:r>
      <w:r>
        <w:rPr>
          <w:sz w:val="24"/>
        </w:rPr>
        <w:t xml:space="preserve">. </w:t>
      </w:r>
    </w:p>
    <w:p w14:paraId="17000000">
      <w:pPr>
        <w:ind w:firstLine="851"/>
        <w:jc w:val="both"/>
        <w:rPr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 Постановление вступает в силу после его </w:t>
      </w:r>
      <w:r>
        <w:rPr>
          <w:sz w:val="24"/>
        </w:rPr>
        <w:t>подписа</w:t>
      </w:r>
      <w:r>
        <w:rPr>
          <w:sz w:val="24"/>
        </w:rPr>
        <w:t>ния</w:t>
      </w:r>
      <w:r>
        <w:rPr>
          <w:sz w:val="24"/>
        </w:rPr>
        <w:t xml:space="preserve"> и подлежит размещению на официальном сайте администрации Сандовского района в информационно-телекоммуникационной сети Интернет.</w:t>
      </w:r>
    </w:p>
    <w:p w14:paraId="18000000">
      <w:pPr>
        <w:ind w:firstLine="851"/>
        <w:jc w:val="both"/>
        <w:rPr>
          <w:sz w:val="24"/>
        </w:rPr>
      </w:pPr>
    </w:p>
    <w:p w14:paraId="19000000">
      <w:pPr>
        <w:ind w:firstLine="851"/>
        <w:jc w:val="both"/>
        <w:rPr>
          <w:sz w:val="28"/>
        </w:rPr>
      </w:pPr>
    </w:p>
    <w:p w14:paraId="1A000000">
      <w:pPr>
        <w:ind w:firstLine="851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Сандовского </w:t>
      </w:r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 xml:space="preserve">                                  </w:t>
      </w:r>
      <w:r>
        <w:rPr>
          <w:sz w:val="28"/>
        </w:rPr>
        <w:tab/>
      </w:r>
      <w:r>
        <w:rPr>
          <w:sz w:val="28"/>
        </w:rPr>
        <w:t>О.Н.Грязнов</w:t>
      </w:r>
    </w:p>
    <w:p w14:paraId="1B000000">
      <w:pPr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1C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1D000000">
      <w:pPr>
        <w:ind/>
        <w:jc w:val="right"/>
        <w:rPr>
          <w:sz w:val="28"/>
        </w:rPr>
      </w:pPr>
      <w:r>
        <w:rPr>
          <w:sz w:val="28"/>
        </w:rPr>
        <w:t xml:space="preserve">Сандовского района </w:t>
      </w:r>
      <w:r>
        <w:rPr>
          <w:sz w:val="28"/>
        </w:rPr>
        <w:t>от 30.06.2020  №  138</w:t>
      </w:r>
    </w:p>
    <w:p w14:paraId="1E000000">
      <w:pPr>
        <w:ind w:hanging="1440" w:left="1440"/>
        <w:jc w:val="right"/>
        <w:rPr>
          <w:sz w:val="28"/>
        </w:rPr>
      </w:pPr>
    </w:p>
    <w:p w14:paraId="1F000000">
      <w:pPr>
        <w:ind w:hanging="1440" w:left="1440"/>
        <w:jc w:val="center"/>
        <w:rPr>
          <w:sz w:val="28"/>
        </w:rPr>
      </w:pPr>
      <w:r>
        <w:rPr>
          <w:sz w:val="28"/>
        </w:rPr>
        <w:t>Состав рабочей группы по проведению реформирования</w:t>
      </w:r>
      <w:r>
        <w:rPr>
          <w:sz w:val="28"/>
        </w:rPr>
        <w:t xml:space="preserve"> 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муниципальных унитарных предприятий, находящихся в собственности муниципального образования </w:t>
      </w:r>
      <w:r>
        <w:rPr>
          <w:sz w:val="28"/>
        </w:rPr>
        <w:t xml:space="preserve">Сандовский район Тверской </w:t>
      </w:r>
      <w:r>
        <w:rPr>
          <w:sz w:val="28"/>
        </w:rPr>
        <w:t>области</w:t>
      </w:r>
    </w:p>
    <w:p w14:paraId="21000000">
      <w:pPr>
        <w:ind/>
        <w:jc w:val="center"/>
        <w:rPr>
          <w:sz w:val="28"/>
        </w:rPr>
      </w:pPr>
    </w:p>
    <w:tbl>
      <w:tblPr>
        <w:tblStyle w:val="Style_1"/>
      </w:tblPr>
      <w:tblGrid>
        <w:gridCol w:w="4664"/>
        <w:gridCol w:w="5441"/>
      </w:tblGrid>
      <w:tr>
        <w:tc>
          <w:tcPr>
            <w:tcW w:type="dxa" w:w="4664"/>
          </w:tcPr>
          <w:p w14:paraId="22000000">
            <w:pPr>
              <w:tabs>
                <w:tab w:leader="none" w:pos="4712" w:val="right"/>
              </w:tabs>
              <w:ind/>
              <w:rPr>
                <w:sz w:val="28"/>
              </w:rPr>
            </w:pPr>
          </w:p>
          <w:p w14:paraId="23000000">
            <w:pPr>
              <w:tabs>
                <w:tab w:leader="none" w:pos="4712" w:val="right"/>
              </w:tabs>
              <w:ind/>
              <w:rPr>
                <w:sz w:val="28"/>
              </w:rPr>
            </w:pPr>
            <w:r>
              <w:rPr>
                <w:sz w:val="28"/>
              </w:rPr>
              <w:t>Носкова Галина Юрьевна</w:t>
            </w:r>
          </w:p>
        </w:tc>
        <w:tc>
          <w:tcPr>
            <w:tcW w:type="dxa" w:w="5441"/>
          </w:tcPr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</w:t>
            </w:r>
            <w:r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>Сандовского района,</w:t>
            </w:r>
            <w:r>
              <w:rPr>
                <w:sz w:val="28"/>
              </w:rPr>
              <w:t xml:space="preserve"> руководитель рабочей группы</w:t>
            </w:r>
            <w:r>
              <w:rPr>
                <w:sz w:val="28"/>
              </w:rPr>
              <w:t xml:space="preserve"> </w:t>
            </w:r>
          </w:p>
          <w:p w14:paraId="2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10105"/>
            <w:gridSpan w:val="2"/>
          </w:tcPr>
          <w:tbl>
            <w:tblPr>
              <w:tblStyle w:val="Style_1"/>
            </w:tblPr>
            <w:tblGrid>
              <w:gridCol w:w="4928"/>
              <w:gridCol w:w="4961"/>
            </w:tblGrid>
            <w:tr>
              <w:tc>
                <w:tcPr>
                  <w:tcW w:type="dxa" w:w="4928"/>
                </w:tcPr>
                <w:p w14:paraId="27000000">
                  <w:pPr>
                    <w:tabs>
                      <w:tab w:leader="none" w:pos="4712" w:val="right"/>
                    </w:tabs>
                    <w:ind/>
                    <w:rPr>
                      <w:sz w:val="28"/>
                    </w:rPr>
                  </w:pPr>
                </w:p>
                <w:p w14:paraId="28000000">
                  <w:pPr>
                    <w:tabs>
                      <w:tab w:leader="none" w:pos="4712" w:val="right"/>
                    </w:tabs>
                    <w:ind/>
                    <w:rPr>
                      <w:sz w:val="28"/>
                    </w:rPr>
                  </w:pPr>
                  <w:r>
                    <w:rPr>
                      <w:sz w:val="28"/>
                    </w:rPr>
                    <w:t>Кузнецова Татьяна Александровна</w:t>
                  </w:r>
                </w:p>
              </w:tc>
              <w:tc>
                <w:tcPr>
                  <w:tcW w:type="dxa" w:w="4961"/>
                </w:tcPr>
                <w:p w14:paraId="29000000">
                  <w:pPr>
                    <w:ind/>
                    <w:jc w:val="both"/>
                    <w:rPr>
                      <w:sz w:val="28"/>
                    </w:rPr>
                  </w:pPr>
                </w:p>
                <w:p w14:paraId="2A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заместитель главы администрации Сандовского района, </w:t>
                  </w:r>
                  <w:r>
                    <w:rPr>
                      <w:sz w:val="28"/>
                    </w:rPr>
                    <w:t>заместитель руководителя</w:t>
                  </w:r>
                  <w:r>
                    <w:rPr>
                      <w:sz w:val="28"/>
                    </w:rPr>
                    <w:t xml:space="preserve"> рабочей группы</w:t>
                  </w:r>
                  <w:r>
                    <w:rPr>
                      <w:sz w:val="28"/>
                    </w:rPr>
                    <w:t xml:space="preserve"> </w:t>
                  </w:r>
                </w:p>
                <w:p w14:paraId="2B000000">
                  <w:pPr>
                    <w:ind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2C000000">
            <w:pPr>
              <w:ind/>
              <w:jc w:val="center"/>
              <w:rPr>
                <w:sz w:val="28"/>
              </w:rPr>
            </w:pPr>
          </w:p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r>
              <w:rPr>
                <w:sz w:val="28"/>
              </w:rPr>
              <w:t>рабочей группы</w:t>
            </w:r>
            <w:r>
              <w:rPr>
                <w:sz w:val="28"/>
              </w:rPr>
              <w:t>:</w:t>
            </w:r>
          </w:p>
        </w:tc>
      </w:tr>
      <w:tr>
        <w:trPr>
          <w:trHeight w:hRule="atLeast" w:val="68"/>
        </w:trPr>
        <w:tc>
          <w:tcPr>
            <w:tcW w:type="dxa" w:w="4664"/>
          </w:tcPr>
          <w:p w14:paraId="2E000000">
            <w:pPr>
              <w:rPr>
                <w:sz w:val="28"/>
              </w:rPr>
            </w:pPr>
          </w:p>
        </w:tc>
        <w:tc>
          <w:tcPr>
            <w:tcW w:type="dxa" w:w="5441"/>
          </w:tcPr>
          <w:p w14:paraId="2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10105"/>
            <w:gridSpan w:val="2"/>
          </w:tcPr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Голубкова Л.А.                                    </w:t>
            </w:r>
            <w:r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 xml:space="preserve">МУП «Центральная районная      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>
              <w:rPr>
                <w:sz w:val="28"/>
              </w:rPr>
              <w:t xml:space="preserve">Аптека </w:t>
            </w:r>
            <w:r>
              <w:rPr>
                <w:sz w:val="28"/>
              </w:rPr>
              <w:t>№50»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Шурупова О.В.                                    Заведующий отделом экономики    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Администрации Сандовского района</w:t>
            </w:r>
          </w:p>
        </w:tc>
      </w:tr>
      <w:tr>
        <w:tc>
          <w:tcPr>
            <w:tcW w:type="dxa" w:w="4664"/>
          </w:tcPr>
          <w:p w14:paraId="34000000">
            <w:pPr>
              <w:rPr>
                <w:sz w:val="28"/>
              </w:rPr>
            </w:pPr>
          </w:p>
        </w:tc>
        <w:tc>
          <w:tcPr>
            <w:tcW w:type="dxa" w:w="5441"/>
          </w:tcPr>
          <w:p w14:paraId="3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10105"/>
            <w:gridSpan w:val="2"/>
          </w:tcPr>
          <w:p w14:paraId="3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64"/>
          </w:tcPr>
          <w:p w14:paraId="37000000">
            <w:pPr>
              <w:rPr>
                <w:sz w:val="28"/>
              </w:rPr>
            </w:pPr>
          </w:p>
        </w:tc>
        <w:tc>
          <w:tcPr>
            <w:tcW w:type="dxa" w:w="5441"/>
          </w:tcPr>
          <w:p w14:paraId="3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64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Щеголева Т.А.</w:t>
            </w:r>
          </w:p>
        </w:tc>
        <w:tc>
          <w:tcPr>
            <w:tcW w:type="dxa" w:w="5441"/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архитектуры, земельных и имущественных отношений Администрации Сандовского района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64"/>
          </w:tcPr>
          <w:p w14:paraId="3C000000">
            <w:pPr>
              <w:rPr>
                <w:sz w:val="28"/>
              </w:rPr>
            </w:pPr>
          </w:p>
        </w:tc>
        <w:tc>
          <w:tcPr>
            <w:tcW w:type="dxa" w:w="5441"/>
          </w:tcPr>
          <w:p w14:paraId="3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64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Чмелева А.П.</w:t>
            </w:r>
          </w:p>
        </w:tc>
        <w:tc>
          <w:tcPr>
            <w:tcW w:type="dxa" w:w="5441"/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специалист, юрист организационно-правового отдела Администрации Сандовского района</w:t>
            </w:r>
          </w:p>
        </w:tc>
      </w:tr>
      <w:tr>
        <w:tc>
          <w:tcPr>
            <w:tcW w:type="dxa" w:w="4664"/>
          </w:tcPr>
          <w:p w14:paraId="40000000">
            <w:pPr>
              <w:rPr>
                <w:sz w:val="28"/>
              </w:rPr>
            </w:pPr>
          </w:p>
        </w:tc>
        <w:tc>
          <w:tcPr>
            <w:tcW w:type="dxa" w:w="5441"/>
          </w:tcPr>
          <w:p w14:paraId="41000000">
            <w:pPr>
              <w:ind/>
              <w:jc w:val="both"/>
              <w:rPr>
                <w:sz w:val="28"/>
              </w:rPr>
            </w:pPr>
          </w:p>
        </w:tc>
      </w:tr>
    </w:tbl>
    <w:p w14:paraId="42000000">
      <w:pPr>
        <w:sectPr>
          <w:pgSz w:h="16838" w:w="11906"/>
          <w:pgMar w:bottom="1135" w:footer="709" w:gutter="0" w:header="709" w:left="1135" w:right="851" w:top="426"/>
        </w:sectPr>
      </w:pPr>
    </w:p>
    <w:p w14:paraId="43000000">
      <w:pPr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</w:t>
      </w:r>
    </w:p>
    <w:p w14:paraId="44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45000000">
      <w:pPr>
        <w:ind/>
        <w:jc w:val="right"/>
        <w:rPr>
          <w:sz w:val="28"/>
        </w:rPr>
      </w:pPr>
      <w:r>
        <w:rPr>
          <w:sz w:val="28"/>
        </w:rPr>
        <w:t>Сандовского района о</w:t>
      </w:r>
      <w:r>
        <w:rPr>
          <w:sz w:val="28"/>
        </w:rPr>
        <w:t>т 30.06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 </w:t>
      </w:r>
      <w:r>
        <w:rPr>
          <w:sz w:val="28"/>
        </w:rPr>
        <w:t>№ 138</w:t>
      </w:r>
      <w:r>
        <w:rPr>
          <w:sz w:val="28"/>
        </w:rPr>
        <w:t xml:space="preserve"> </w:t>
      </w:r>
    </w:p>
    <w:p w14:paraId="46000000">
      <w:pPr>
        <w:ind w:firstLine="0" w:left="851"/>
        <w:jc w:val="center"/>
        <w:rPr>
          <w:sz w:val="28"/>
        </w:rPr>
      </w:pPr>
      <w:r>
        <w:rPr>
          <w:sz w:val="28"/>
        </w:rPr>
        <w:t>План мероприятий по реформированию</w:t>
      </w:r>
    </w:p>
    <w:p w14:paraId="47000000">
      <w:pPr>
        <w:ind w:firstLine="0" w:left="851"/>
        <w:jc w:val="center"/>
        <w:rPr>
          <w:sz w:val="28"/>
        </w:rPr>
      </w:pPr>
      <w:r>
        <w:rPr>
          <w:sz w:val="28"/>
        </w:rPr>
        <w:t xml:space="preserve">муниципальных унитарных предприятий, </w:t>
      </w:r>
      <w:r>
        <w:rPr>
          <w:sz w:val="28"/>
        </w:rPr>
        <w:t>находящихся</w:t>
      </w:r>
      <w:r>
        <w:rPr>
          <w:sz w:val="28"/>
        </w:rPr>
        <w:t xml:space="preserve"> в собственн</w:t>
      </w:r>
      <w:r>
        <w:rPr>
          <w:sz w:val="28"/>
        </w:rPr>
        <w:t xml:space="preserve">ости муниципального образования « Сандовский район» </w:t>
      </w:r>
      <w:r>
        <w:rPr>
          <w:sz w:val="28"/>
        </w:rPr>
        <w:t>на 2020-2024 годы</w:t>
      </w:r>
    </w:p>
    <w:p w14:paraId="48000000">
      <w:pPr>
        <w:ind w:firstLine="0" w:left="851"/>
        <w:jc w:val="center"/>
        <w:rPr>
          <w:sz w:val="28"/>
        </w:rPr>
      </w:pPr>
    </w:p>
    <w:tbl>
      <w:tblPr>
        <w:tblStyle w:val="Style_1"/>
        <w:tblInd w:type="dxa" w:w="5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17"/>
        <w:gridCol w:w="7121"/>
        <w:gridCol w:w="3969"/>
        <w:gridCol w:w="2986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 w:firstLine="0" w:left="6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деятельност</w:t>
            </w:r>
            <w:r>
              <w:rPr>
                <w:sz w:val="28"/>
              </w:rPr>
              <w:t xml:space="preserve">и муниципальных унитарных предприятий, находящихся в собственности муниципального образования </w:t>
            </w:r>
            <w:r>
              <w:rPr>
                <w:sz w:val="28"/>
              </w:rPr>
              <w:t xml:space="preserve">«Сандовский район» Тверской области </w:t>
            </w:r>
            <w:r>
              <w:rPr>
                <w:sz w:val="28"/>
              </w:rPr>
              <w:t>(далее – муниципальны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унитарны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предприяти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отдел по экономики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Сандовского района 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2020 года</w:t>
            </w:r>
          </w:p>
          <w:p w14:paraId="55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(ежеквартально)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1023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Проведение мониторинга финансового состояния муниципальных</w:t>
            </w:r>
            <w:r>
              <w:rPr>
                <w:sz w:val="28"/>
              </w:rPr>
              <w:t xml:space="preserve"> унитарных предприятий </w:t>
            </w:r>
            <w:r>
              <w:rPr>
                <w:sz w:val="28"/>
              </w:rPr>
              <w:t>в соответствии с отраслевыми  критериями оценки эффективности деятельности муниципальных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по экономики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Сандовского района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течение 2020 года</w:t>
            </w:r>
          </w:p>
          <w:p w14:paraId="5A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(ежеквартально)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1023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По результатам проведения мониторинга финансового состояния муниципальных унитарных предприятий п</w:t>
            </w:r>
            <w:r>
              <w:rPr>
                <w:sz w:val="28"/>
              </w:rPr>
              <w:t xml:space="preserve">одготовка </w:t>
            </w:r>
            <w:r>
              <w:rPr>
                <w:sz w:val="28"/>
              </w:rPr>
              <w:t xml:space="preserve">и направление </w:t>
            </w:r>
            <w:r>
              <w:rPr>
                <w:sz w:val="28"/>
              </w:rPr>
              <w:t xml:space="preserve">предложений и </w:t>
            </w:r>
            <w:r>
              <w:rPr>
                <w:sz w:val="28"/>
              </w:rPr>
              <w:t>рекомендаци</w:t>
            </w:r>
            <w:r>
              <w:rPr>
                <w:sz w:val="28"/>
              </w:rPr>
              <w:t xml:space="preserve">й по реформированию </w:t>
            </w:r>
            <w:r>
              <w:rPr>
                <w:sz w:val="28"/>
              </w:rPr>
              <w:t>муниципальных унитарных предприятий</w:t>
            </w:r>
            <w:r>
              <w:rPr>
                <w:sz w:val="28"/>
              </w:rPr>
              <w:t>, цели создания которых не соответствуют основаниям, определенным в статье 8 Федерального закона от 14.11.2002 № 161-ФЗ «О государственных и муниципальных унитарных предприятиях»</w:t>
            </w:r>
            <w:r>
              <w:rPr>
                <w:sz w:val="28"/>
              </w:rPr>
              <w:t xml:space="preserve">, главе </w:t>
            </w:r>
            <w:r>
              <w:rPr>
                <w:sz w:val="28"/>
              </w:rPr>
              <w:t xml:space="preserve">Сандовского района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рабочая группа по проведению реформирования </w:t>
            </w:r>
          </w:p>
          <w:p w14:paraId="5E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муниципальных унитарных предприятий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01.12.2020 года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1023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Внесение проектов решений о реорганизации или ликвидации муниципальных унитарных предприятий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Организационно-правовой отдел администрации Сандовского района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</w:p>
          <w:p w14:paraId="64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2021-2022 годов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1023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Проведение приватизации муниципальных унитарных предприятий способом преобразования  в </w:t>
            </w:r>
            <w:r>
              <w:rPr>
                <w:sz w:val="28"/>
              </w:rPr>
              <w:t>иную</w:t>
            </w:r>
            <w:r>
              <w:rPr>
                <w:sz w:val="28"/>
              </w:rPr>
              <w:t xml:space="preserve"> организационно-правов</w:t>
            </w:r>
            <w:r>
              <w:rPr>
                <w:sz w:val="28"/>
              </w:rPr>
              <w:t>ую</w:t>
            </w:r>
            <w:r>
              <w:rPr>
                <w:sz w:val="28"/>
              </w:rPr>
              <w:t xml:space="preserve">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архитектуры, земельных и имущественных отношений администрации Сандовского района 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</w:p>
          <w:p w14:paraId="69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2021-202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годов </w:t>
            </w:r>
          </w:p>
          <w:p w14:paraId="6A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(по отдельному плану-графику)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1023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Планирование средств в сумме сто тысяч рублей на реорганизацию унитарного предприятия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Директор МУП «Центральная районная Аптека №50» Голубкова Л.А.</w:t>
            </w:r>
          </w:p>
        </w:tc>
        <w:tc>
          <w:tcPr>
            <w:tcW w:type="dxa" w:w="2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1023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</w:tr>
    </w:tbl>
    <w:p w14:paraId="6F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0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1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2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3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4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5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6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7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8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9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A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B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C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D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E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7F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80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81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82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83000000">
      <w:pPr>
        <w:tabs>
          <w:tab w:leader="none" w:pos="10230" w:val="left"/>
        </w:tabs>
        <w:ind/>
        <w:jc w:val="center"/>
        <w:rPr>
          <w:color w:val="FF0000"/>
          <w:sz w:val="28"/>
        </w:rPr>
      </w:pPr>
    </w:p>
    <w:p w14:paraId="84000000">
      <w:pPr>
        <w:tabs>
          <w:tab w:leader="none" w:pos="10230" w:val="left"/>
        </w:tabs>
        <w:ind/>
        <w:jc w:val="right"/>
        <w:rPr>
          <w:color w:val="00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  Приложение 3</w:t>
      </w:r>
    </w:p>
    <w:p w14:paraId="85000000">
      <w:pPr>
        <w:tabs>
          <w:tab w:leader="none" w:pos="10230" w:val="left"/>
        </w:tabs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к постановлению администрации</w:t>
      </w:r>
    </w:p>
    <w:p w14:paraId="86000000">
      <w:pPr>
        <w:tabs>
          <w:tab w:leader="none" w:pos="10230" w:val="left"/>
        </w:tabs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Сандовского района 30.06.2020г № 138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87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</w:p>
    <w:p w14:paraId="88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</w:p>
    <w:p w14:paraId="89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Перечень унитарных предприятий, подлежащих реорганизации либо ликвидации, находящихся в </w:t>
      </w:r>
      <w:r>
        <w:rPr>
          <w:color w:val="000000"/>
          <w:sz w:val="28"/>
        </w:rPr>
        <w:t>собственности</w:t>
      </w:r>
    </w:p>
    <w:p w14:paraId="8A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«Сандовский район»</w:t>
      </w:r>
    </w:p>
    <w:p w14:paraId="8B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</w:p>
    <w:p w14:paraId="8C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</w:p>
    <w:tbl>
      <w:tblPr>
        <w:tblStyle w:val="Style_1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276"/>
        <w:gridCol w:w="2693"/>
        <w:gridCol w:w="2552"/>
        <w:gridCol w:w="2551"/>
        <w:gridCol w:w="2552"/>
        <w:gridCol w:w="2835"/>
      </w:tblGrid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№п/п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14:paraId="8F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унитарного предприятия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ИНН, место нахождения, телефон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Реорганизация либо ликвидация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 реорганизации ( с указанием соответствующего абзаца пункта 2 статьи 29 Федерального закона №161-ФЗ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Планируемый срок реорганизации либо ликвидации</w:t>
            </w: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МУП «Центральная</w:t>
            </w:r>
          </w:p>
          <w:p w14:paraId="96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Районная Аптека№50»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6938000405,</w:t>
            </w:r>
          </w:p>
          <w:p w14:paraId="98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171750, Тверская обл., п.Сандово, ул</w:t>
            </w:r>
            <w:r>
              <w:rPr>
                <w:color w:val="000000"/>
                <w:sz w:val="28"/>
              </w:rPr>
              <w:t>.Пионерская, д.5</w:t>
            </w:r>
          </w:p>
          <w:p w14:paraId="99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Тел.8 (48272)2-11-25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реорганизация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Абз.6 п.2 ст.29- в форме преобразования в ООО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tabs>
                <w:tab w:leader="none" w:pos="1023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</w:t>
            </w:r>
          </w:p>
        </w:tc>
      </w:tr>
    </w:tbl>
    <w:p w14:paraId="9D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</w:p>
    <w:p w14:paraId="9E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</w:p>
    <w:p w14:paraId="9F000000">
      <w:pPr>
        <w:tabs>
          <w:tab w:leader="none" w:pos="10230" w:val="left"/>
        </w:tabs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</w:t>
      </w:r>
    </w:p>
    <w:sectPr>
      <w:pgSz w:h="11906" w:w="16838"/>
      <w:pgMar w:bottom="1440" w:footer="709" w:gutter="0" w:header="709" w:left="567" w:right="82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ody Text"/>
    <w:basedOn w:val="Style_2"/>
    <w:link w:val="Style_7_ch"/>
    <w:pPr>
      <w:spacing w:after="120"/>
      <w:ind/>
    </w:pPr>
  </w:style>
  <w:style w:styleId="Style_7_ch" w:type="character">
    <w:name w:val="Body Text"/>
    <w:basedOn w:val="Style_2_ch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ind/>
      <w:outlineLvl w:val="2"/>
    </w:pPr>
    <w:rPr>
      <w:b w:val="1"/>
    </w:rPr>
  </w:style>
  <w:style w:styleId="Style_8_ch" w:type="character">
    <w:name w:val="heading 3"/>
    <w:basedOn w:val="Style_2_ch"/>
    <w:link w:val="Style_8"/>
    <w:rPr>
      <w:b w:val="1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outlineLvl w:val="0"/>
    </w:pPr>
    <w:rPr>
      <w:sz w:val="28"/>
    </w:rPr>
  </w:style>
  <w:style w:styleId="Style_13_ch" w:type="character">
    <w:name w:val="heading 1"/>
    <w:basedOn w:val="Style_2_ch"/>
    <w:link w:val="Style_13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ind/>
      <w:outlineLvl w:val="1"/>
    </w:pPr>
    <w:rPr>
      <w:sz w:val="32"/>
    </w:rPr>
  </w:style>
  <w:style w:styleId="Style_25_ch" w:type="character">
    <w:name w:val="heading 2"/>
    <w:basedOn w:val="Style_2_ch"/>
    <w:link w:val="Style_25"/>
    <w:rPr>
      <w:sz w:val="3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2020-07-02T08:52:29Z</dcterms:modified>
</cp:coreProperties>
</file>