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after="0" w:before="0"/>
        <w:ind/>
        <w:jc w:val="center"/>
        <w:rPr>
          <w:sz w:val="36"/>
        </w:rPr>
      </w:pPr>
      <w:r>
        <w:drawing>
          <wp:inline>
            <wp:extent cx="413385" cy="5181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13385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36"/>
        </w:rPr>
      </w:pP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СОБРАНИЕ  ДЕПУТАТОВ САНДОВСКОГО РАЙОНА</w:t>
      </w:r>
    </w:p>
    <w:p w14:paraId="04000000">
      <w:pPr>
        <w:pStyle w:val="Style_2"/>
      </w:pPr>
      <w:r>
        <w:rPr>
          <w:sz w:val="28"/>
        </w:rPr>
        <w:t>Тверская область</w:t>
      </w:r>
    </w:p>
    <w:p w14:paraId="05000000">
      <w:pPr>
        <w:pStyle w:val="Style_2"/>
      </w:pPr>
      <w:r>
        <w:rPr>
          <w:b w:val="1"/>
        </w:rPr>
        <w:t>Р Е Ш Е Н И Е</w:t>
      </w:r>
    </w:p>
    <w:p w14:paraId="06000000">
      <w:pPr>
        <w:pStyle w:val="Style_2"/>
        <w:ind/>
        <w:jc w:val="left"/>
      </w:pPr>
      <w:r>
        <w:rPr>
          <w:sz w:val="28"/>
        </w:rPr>
        <w:t>13.04.2020</w:t>
      </w:r>
      <w:r>
        <w:rPr>
          <w:sz w:val="28"/>
        </w:rPr>
        <w:t xml:space="preserve">                                         п. Сандово                                                № 12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r>
        <w:t xml:space="preserve">О внесении изменений в решение Собрания депутатов </w:t>
      </w:r>
    </w:p>
    <w:p w14:paraId="09000000">
      <w:r>
        <w:t>Сандовского района Тверской области № 26 от 14.11.2012г.</w:t>
      </w:r>
    </w:p>
    <w:p w14:paraId="0A000000">
      <w:r>
        <w:t xml:space="preserve">"О системе налогообложения в виде единого налога </w:t>
      </w:r>
    </w:p>
    <w:p w14:paraId="0B000000">
      <w:r>
        <w:t xml:space="preserve">на вмененный доход для отдельных видов деятельности </w:t>
      </w:r>
    </w:p>
    <w:p w14:paraId="0C000000">
      <w:r>
        <w:t>по муниципальному образованию «Сандовский район»</w:t>
      </w:r>
    </w:p>
    <w:p w14:paraId="0D000000"/>
    <w:p w14:paraId="0E000000"/>
    <w:p w14:paraId="0F000000">
      <w:pPr>
        <w:ind w:firstLine="539"/>
        <w:jc w:val="both"/>
      </w:pPr>
      <w:r>
        <w:t xml:space="preserve">В соответствии Налоговым кодексом Российской Федерации, </w:t>
      </w:r>
      <w:r>
        <w:t>в целях обеспечения экономической устойчивости субъектов предпринимательской деятельности  оказавшихся в зоне риска</w:t>
      </w:r>
      <w:r>
        <w:t>, Собрание депутатов Сандо</w:t>
      </w:r>
      <w:r>
        <w:t>вского района решило:</w:t>
      </w:r>
    </w:p>
    <w:p w14:paraId="10000000">
      <w:pPr>
        <w:ind w:firstLine="539"/>
        <w:jc w:val="both"/>
      </w:pPr>
      <w:r>
        <w:t xml:space="preserve"> </w:t>
      </w:r>
    </w:p>
    <w:p w14:paraId="11000000">
      <w:pPr>
        <w:ind/>
        <w:jc w:val="center"/>
      </w:pPr>
      <w:r>
        <w:t>РЕШИЛО:</w:t>
      </w:r>
    </w:p>
    <w:p w14:paraId="12000000">
      <w:pPr>
        <w:ind w:firstLine="539"/>
        <w:jc w:val="both"/>
      </w:pPr>
    </w:p>
    <w:p w14:paraId="13000000">
      <w:pPr>
        <w:pStyle w:val="Style_3"/>
        <w:spacing w:after="0"/>
        <w:ind/>
        <w:jc w:val="both"/>
      </w:pPr>
      <w:r>
        <w:tab/>
      </w:r>
      <w:r>
        <w:t xml:space="preserve">1.Внести изменения </w:t>
      </w:r>
      <w:r>
        <w:t>в решение Собрания депутатов  Сандовского района Тверской области № 26 от 14.11.2012г. "О системе налогообложения в виде единого налога на вмененный доход для отдельных видов деятельности по муниципальному образованию «Санд</w:t>
      </w:r>
      <w:r>
        <w:t xml:space="preserve">овский район», изложив п. 12 </w:t>
      </w:r>
      <w:r>
        <w:t xml:space="preserve"> Приложения </w:t>
      </w:r>
      <w:r>
        <w:t xml:space="preserve">2 «Значения корректирующего коэффициента </w:t>
      </w:r>
      <w:r>
        <w:rPr>
          <w:u w:val="single"/>
        </w:rPr>
        <w:t>Кос</w:t>
      </w:r>
      <w:r>
        <w:t>, учитывающего совокупность особенностей</w:t>
      </w:r>
      <w:r>
        <w:rPr>
          <w:sz w:val="20"/>
        </w:rPr>
        <w:t xml:space="preserve"> ведения </w:t>
      </w:r>
      <w:r>
        <w:t>предпринимательской деятельности  в следующей редакции</w:t>
      </w:r>
      <w:r>
        <w:t>:</w:t>
      </w:r>
    </w:p>
    <w:tbl>
      <w:tblPr>
        <w:tblStyle w:val="Style_4"/>
        <w:tblInd w:type="dxa" w:w="-5"/>
      </w:tblPr>
      <w:tblGrid>
        <w:gridCol w:w="4140"/>
        <w:gridCol w:w="740"/>
        <w:gridCol w:w="4172"/>
        <w:gridCol w:w="1056"/>
      </w:tblGrid>
      <w:t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pStyle w:val="Style_3"/>
              <w:ind/>
              <w:jc w:val="center"/>
            </w:pPr>
            <w:r>
              <w:rPr>
                <w:i w:val="1"/>
                <w:sz w:val="20"/>
                <w:u w:val="single"/>
              </w:rPr>
              <w:t>Вид деятельности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pStyle w:val="Style_3"/>
              <w:ind/>
              <w:jc w:val="center"/>
            </w:pPr>
            <w:r>
              <w:rPr>
                <w:i w:val="1"/>
                <w:sz w:val="20"/>
                <w:u w:val="single"/>
              </w:rPr>
              <w:t>№ п/п</w:t>
            </w:r>
          </w:p>
        </w:tc>
        <w:tc>
          <w:tcPr>
            <w:tcW w:type="dxa" w:w="41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pStyle w:val="Style_3"/>
              <w:ind/>
              <w:jc w:val="center"/>
            </w:pPr>
            <w:r>
              <w:rPr>
                <w:i w:val="1"/>
                <w:sz w:val="20"/>
                <w:u w:val="single"/>
              </w:rPr>
              <w:t>Особенности ведения предпринимательской деятельности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pStyle w:val="Style_3"/>
              <w:ind/>
              <w:jc w:val="center"/>
            </w:pPr>
            <w:r>
              <w:rPr>
                <w:i w:val="1"/>
                <w:sz w:val="20"/>
                <w:u w:val="single"/>
              </w:rPr>
              <w:t>Значение коэф. Кос</w:t>
            </w:r>
          </w:p>
        </w:tc>
      </w:tr>
      <w:t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pStyle w:val="Style_3"/>
              <w:spacing w:after="62"/>
              <w:ind/>
              <w:jc w:val="both"/>
            </w:pP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tabs>
                <w:tab w:leader="none" w:pos="7380" w:val="center"/>
              </w:tabs>
              <w:ind w:right="-5"/>
              <w:jc w:val="center"/>
              <w:rPr>
                <w:sz w:val="20"/>
              </w:rPr>
            </w:pPr>
          </w:p>
        </w:tc>
        <w:tc>
          <w:tcPr>
            <w:tcW w:type="dxa" w:w="417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rPr>
                <w:sz w:val="20"/>
              </w:rPr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ind/>
              <w:jc w:val="center"/>
            </w:pPr>
          </w:p>
        </w:tc>
      </w:tr>
      <w:tr>
        <w:tc>
          <w:tcPr>
            <w:tcW w:type="dxa" w:w="41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pStyle w:val="Style_3"/>
              <w:spacing w:after="62"/>
              <w:ind/>
              <w:jc w:val="both"/>
            </w:pPr>
            <w:r>
              <w:t xml:space="preserve">12. Оказание услуг общественного питания через объект организации  общественного питания, имеющий зал обслуживания посетителей 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pStyle w:val="Style_3"/>
              <w:spacing w:after="62"/>
              <w:ind/>
              <w:jc w:val="both"/>
            </w:pPr>
          </w:p>
        </w:tc>
        <w:tc>
          <w:tcPr>
            <w:tcW w:type="dxa" w:w="4172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pStyle w:val="Style_3"/>
              <w:spacing w:after="62"/>
              <w:ind/>
              <w:jc w:val="both"/>
            </w:pPr>
          </w:p>
        </w:tc>
        <w:tc>
          <w:tcPr>
            <w:tcW w:type="dxa" w:w="1056"/>
            <w:tcBorders>
              <w:left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pStyle w:val="Style_3"/>
              <w:spacing w:after="62"/>
              <w:ind/>
              <w:jc w:val="center"/>
            </w:pPr>
            <w:r>
              <w:t>0,15</w:t>
            </w:r>
          </w:p>
        </w:tc>
      </w:tr>
    </w:tbl>
    <w:p w14:paraId="20000000">
      <w:pPr>
        <w:ind/>
        <w:jc w:val="both"/>
      </w:pPr>
      <w:r>
        <w:t xml:space="preserve">      2. Настоящее решение вступает в силу не ранее чем по истечении одного месяца со дня его официального опубликования, и применяется в отношении н</w:t>
      </w:r>
      <w:r>
        <w:t>алого</w:t>
      </w:r>
      <w:r>
        <w:t xml:space="preserve">вых периодов начиная с 01 января </w:t>
      </w:r>
      <w:r>
        <w:t>2020</w:t>
      </w:r>
      <w:r>
        <w:t xml:space="preserve"> года</w:t>
      </w:r>
      <w:r>
        <w:t xml:space="preserve"> по 31 декабря 2020года.</w:t>
      </w:r>
    </w:p>
    <w:p w14:paraId="21000000">
      <w:pPr>
        <w:ind/>
        <w:jc w:val="both"/>
      </w:pPr>
      <w:r>
        <w:t xml:space="preserve">      3.Решение опубликовать в газете «Сандовские вести» </w:t>
      </w: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>
      <w:pPr>
        <w:ind/>
        <w:jc w:val="both"/>
      </w:pPr>
      <w:r>
        <w:t xml:space="preserve">Глава Сандовского района                                                </w:t>
      </w:r>
      <w:r>
        <w:t>О.Н.Грязнов</w:t>
      </w:r>
    </w:p>
    <w:p w14:paraId="25000000">
      <w:pPr>
        <w:pStyle w:val="Style_3"/>
        <w:spacing w:after="85"/>
        <w:ind/>
        <w:jc w:val="both"/>
      </w:pPr>
      <w:r>
        <w:t xml:space="preserve">      </w:t>
      </w:r>
    </w:p>
    <w:p w14:paraId="26000000">
      <w:pPr>
        <w:pStyle w:val="Style_3"/>
        <w:spacing w:after="85"/>
        <w:ind/>
        <w:jc w:val="both"/>
      </w:pPr>
    </w:p>
    <w:p w14:paraId="27000000">
      <w:pPr>
        <w:pStyle w:val="Style_5"/>
        <w:rPr>
          <w:sz w:val="24"/>
        </w:rPr>
      </w:pPr>
      <w:r>
        <w:rPr>
          <w:rFonts w:ascii="Times New Roman" w:hAnsi="Times New Roman"/>
          <w:sz w:val="24"/>
        </w:rPr>
        <w:t xml:space="preserve">Председатель Собрания депутатов </w:t>
      </w:r>
    </w:p>
    <w:p w14:paraId="28000000">
      <w:pPr>
        <w:pStyle w:val="Style_5"/>
        <w:rPr>
          <w:sz w:val="24"/>
        </w:rPr>
      </w:pPr>
      <w:r>
        <w:rPr>
          <w:rFonts w:ascii="Times New Roman" w:hAnsi="Times New Roman"/>
          <w:sz w:val="24"/>
        </w:rPr>
        <w:t>Сандовского района                                                           О.В.Смирнова</w:t>
      </w:r>
    </w:p>
    <w:p w14:paraId="29000000">
      <w:pPr>
        <w:pStyle w:val="Style_5"/>
        <w:spacing w:after="85"/>
        <w:ind/>
        <w:jc w:val="both"/>
        <w:rPr>
          <w:sz w:val="24"/>
        </w:rPr>
      </w:pPr>
    </w:p>
    <w:sectPr>
      <w:pgSz w:h="16838" w:w="11906"/>
      <w:pgMar w:bottom="1134" w:footer="720" w:gutter="0" w:header="720" w:left="1173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6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List"/>
    <w:basedOn w:val="Style_3"/>
    <w:link w:val="Style_12_ch"/>
  </w:style>
  <w:style w:styleId="Style_12_ch" w:type="character">
    <w:name w:val="List"/>
    <w:basedOn w:val="Style_3_ch"/>
    <w:link w:val="Style_12"/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13" w:type="paragraph">
    <w:name w:val="Название1"/>
    <w:basedOn w:val="Style_6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Название1"/>
    <w:basedOn w:val="Style_6_ch"/>
    <w:link w:val="Style_13"/>
    <w:rPr>
      <w:i w:val="1"/>
      <w:sz w:val="24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Содержимое таблицы"/>
    <w:basedOn w:val="Style_6"/>
    <w:link w:val="Style_16_ch"/>
  </w:style>
  <w:style w:styleId="Style_16_ch" w:type="character">
    <w:name w:val="Содержимое таблицы"/>
    <w:basedOn w:val="Style_6_ch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caption"/>
    <w:basedOn w:val="Style_6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6_ch"/>
    <w:link w:val="Style_20"/>
    <w:rPr>
      <w:i w:val="1"/>
      <w:sz w:val="24"/>
    </w:rPr>
  </w:style>
  <w:style w:styleId="Style_21" w:type="paragraph">
    <w:name w:val="Hyperlink"/>
    <w:link w:val="Style_21_ch"/>
    <w:rPr>
      <w:color w:val="000080"/>
      <w:u w:val="single"/>
    </w:rPr>
  </w:style>
  <w:style w:styleId="Style_21_ch" w:type="character">
    <w:name w:val="Hyperlink"/>
    <w:link w:val="Style_21"/>
    <w:rPr>
      <w:color w:val="000080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6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toc 9"/>
    <w:next w:val="Style_6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6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Указатель1"/>
    <w:basedOn w:val="Style_6"/>
    <w:link w:val="Style_29_ch"/>
  </w:style>
  <w:style w:styleId="Style_29_ch" w:type="character">
    <w:name w:val="Указатель1"/>
    <w:basedOn w:val="Style_6_ch"/>
    <w:link w:val="Style_29"/>
  </w:style>
  <w:style w:styleId="Style_30" w:type="paragraph">
    <w:name w:val="Указатель2"/>
    <w:basedOn w:val="Style_6"/>
    <w:link w:val="Style_30_ch"/>
  </w:style>
  <w:style w:styleId="Style_30_ch" w:type="character">
    <w:name w:val="Указатель2"/>
    <w:basedOn w:val="Style_6_ch"/>
    <w:link w:val="Style_30"/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" w:type="paragraph">
    <w:name w:val="Заголовок"/>
    <w:basedOn w:val="Style_6"/>
    <w:next w:val="Style_3"/>
    <w:link w:val="Style_1_ch"/>
    <w:pPr>
      <w:keepNext w:val="1"/>
      <w:spacing w:after="120" w:before="240"/>
      <w:ind/>
    </w:pPr>
    <w:rPr>
      <w:rFonts w:ascii="Arial" w:hAnsi="Arial"/>
      <w:sz w:val="28"/>
    </w:rPr>
  </w:style>
  <w:style w:styleId="Style_1_ch" w:type="character">
    <w:name w:val="Заголовок"/>
    <w:basedOn w:val="Style_6_ch"/>
    <w:link w:val="Style_1"/>
    <w:rPr>
      <w:rFonts w:ascii="Arial" w:hAnsi="Arial"/>
      <w:sz w:val="28"/>
    </w:rPr>
  </w:style>
  <w:style w:styleId="Style_2" w:type="paragraph">
    <w:name w:val="Subtitle"/>
    <w:basedOn w:val="Style_6"/>
    <w:next w:val="Style_3"/>
    <w:link w:val="Style_2_ch"/>
    <w:uiPriority w:val="11"/>
    <w:qFormat/>
    <w:pPr>
      <w:ind/>
      <w:jc w:val="center"/>
    </w:pPr>
    <w:rPr>
      <w:sz w:val="36"/>
    </w:rPr>
  </w:style>
  <w:style w:styleId="Style_2_ch" w:type="character">
    <w:name w:val="Subtitle"/>
    <w:basedOn w:val="Style_6_ch"/>
    <w:link w:val="Style_2"/>
    <w:rPr>
      <w:sz w:val="36"/>
    </w:rPr>
  </w:style>
  <w:style w:styleId="Style_31" w:type="paragraph">
    <w:name w:val="Заголовок таблицы"/>
    <w:basedOn w:val="Style_16"/>
    <w:link w:val="Style_31_ch"/>
    <w:pPr>
      <w:ind/>
      <w:jc w:val="center"/>
    </w:pPr>
    <w:rPr>
      <w:b w:val="1"/>
    </w:rPr>
  </w:style>
  <w:style w:styleId="Style_31_ch" w:type="character">
    <w:name w:val="Заголовок таблицы"/>
    <w:basedOn w:val="Style_16_ch"/>
    <w:link w:val="Style_31"/>
    <w:rPr>
      <w:b w:val="1"/>
    </w:rPr>
  </w:style>
  <w:style w:styleId="Style_32" w:type="paragraph">
    <w:name w:val="toc 10"/>
    <w:next w:val="Style_6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6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6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heading 2"/>
    <w:next w:val="Style_6"/>
    <w:link w:val="Style_3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6_ch" w:type="character">
    <w:name w:val="heading 2"/>
    <w:link w:val="Style_36"/>
    <w:rPr>
      <w:rFonts w:ascii="XO Thames" w:hAnsi="XO Thames"/>
      <w:b w:val="1"/>
      <w:color w:val="00A0FF"/>
      <w:sz w:val="26"/>
    </w:rPr>
  </w:style>
  <w:style w:styleId="Style_37" w:type="paragraph">
    <w:name w:val="Absatz-Standardschriftart"/>
    <w:link w:val="Style_37_ch"/>
  </w:style>
  <w:style w:styleId="Style_37_ch" w:type="character">
    <w:name w:val="Absatz-Standardschriftart"/>
    <w:link w:val="Style_37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