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882"/>
      </w:tblGrid>
      <w:tr>
        <w:tc>
          <w:tcPr>
            <w:tcW w:type="dxa" w:w="10063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22.09.2020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пгт. Сандово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№ 12</w:t>
            </w:r>
          </w:p>
        </w:tc>
      </w:tr>
      <w:tr>
        <w:tc>
          <w:tcPr>
            <w:tcW w:type="dxa" w:w="5495"/>
            <w:shd w:fill="auto" w:val="clear"/>
          </w:tcPr>
          <w:p w14:paraId="07000000"/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  <w:p w14:paraId="0A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  <w:tr>
        <w:tc>
          <w:tcPr>
            <w:tcW w:type="dxa" w:w="5495"/>
            <w:shd w:fill="auto" w:val="clear"/>
          </w:tcPr>
          <w:p w14:paraId="0B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прекращении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полномочий</w:t>
            </w:r>
          </w:p>
          <w:p w14:paraId="0C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образований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полномочий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депутатов</w:t>
            </w:r>
          </w:p>
        </w:tc>
        <w:tc>
          <w:tcPr>
            <w:tcW w:type="dxa" w:w="284"/>
            <w:shd w:fill="auto" w:val="clear"/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E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  <w:tr>
        <w:tc>
          <w:tcPr>
            <w:tcW w:type="dxa" w:w="5495"/>
            <w:shd w:fill="auto" w:val="clear"/>
          </w:tcPr>
          <w:p w14:paraId="0F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1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</w:tbl>
    <w:p w14:paraId="12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3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16,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17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z w:val="28"/>
        </w:rPr>
        <w:t xml:space="preserve"> 35,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3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z w:val="28"/>
        </w:rPr>
        <w:t xml:space="preserve"> 40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2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23.04.2020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21-</w:t>
      </w:r>
      <w:r>
        <w:rPr>
          <w:rFonts w:ascii="Times New Roman" w:hAnsi="Times New Roman"/>
          <w:sz w:val="28"/>
        </w:rPr>
        <w:t>ЗО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14.09.2020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92/411-4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Тверской области </w:t>
      </w:r>
      <w:r>
        <w:rPr>
          <w:rFonts w:ascii="Times New Roman" w:hAnsi="Times New Roman"/>
          <w:sz w:val="28"/>
        </w:rPr>
        <w:t>первого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созыва</w:t>
      </w:r>
      <w:r>
        <w:rPr>
          <w:rFonts w:ascii="Times New Roman" w:hAnsi="Times New Roman"/>
          <w:sz w:val="28"/>
        </w:rPr>
        <w:t xml:space="preserve"> 13.09.2020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3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4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14:paraId="15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РЕШИЛА:</w:t>
            </w:r>
          </w:p>
        </w:tc>
        <w:tc>
          <w:tcPr>
            <w:tcW w:type="dxa" w:w="1418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A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Считать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 сентября 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Тверской области, Совета депутатов </w:t>
      </w:r>
      <w:r>
        <w:rPr>
          <w:rFonts w:ascii="Times New Roman" w:hAnsi="Times New Roman"/>
          <w:sz w:val="28"/>
        </w:rPr>
        <w:t>городского поселения «Поселок Сандово»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Сандовского района </w:t>
      </w:r>
      <w:r>
        <w:rPr>
          <w:rFonts w:ascii="Times New Roman" w:hAnsi="Times New Roman"/>
          <w:sz w:val="28"/>
        </w:rPr>
        <w:t xml:space="preserve">Тверской области, </w:t>
      </w:r>
      <w:r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Большемалинского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Лукинского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области, Совета депутатов Соболинского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Тверской области, </w:t>
      </w:r>
      <w:r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Топоровского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депутатов вышеперечисленных представительных органов муниципальных образований </w:t>
      </w:r>
      <w:bookmarkStart w:id="1" w:name="_GoBack"/>
      <w:bookmarkEnd w:id="1"/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в связи с началом р</w:t>
      </w:r>
      <w:r>
        <w:rPr>
          <w:rFonts w:ascii="Times New Roman" w:hAnsi="Times New Roman"/>
          <w:sz w:val="28"/>
        </w:rPr>
        <w:t>аботы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первого созыва.</w:t>
      </w:r>
    </w:p>
    <w:p w14:paraId="1B000000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>.</w:t>
      </w:r>
    </w:p>
    <w:p w14:paraId="1C000000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14:paraId="1D000000">
      <w:pPr>
        <w:widowControl w:val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1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567" w:footer="720" w:gutter="0" w:header="720" w:left="1134" w:right="709" w:top="79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Default"/>
    <w:link w:val="Style_10_ch"/>
    <w:rPr>
      <w:color w:val="000000"/>
      <w:sz w:val="24"/>
    </w:rPr>
  </w:style>
  <w:style w:styleId="Style_10_ch" w:type="character">
    <w:name w:val="Default"/>
    <w:link w:val="Style_10"/>
    <w:rPr>
      <w:color w:val="000000"/>
      <w:sz w:val="24"/>
    </w:rPr>
  </w:style>
  <w:style w:styleId="Style_11" w:type="paragraph">
    <w:name w:val="ConsPlusNormal"/>
    <w:link w:val="Style_11_ch"/>
    <w:rPr>
      <w:sz w:val="28"/>
    </w:rPr>
  </w:style>
  <w:style w:styleId="Style_11_ch" w:type="character">
    <w:name w:val="ConsPlusNormal"/>
    <w:link w:val="Style_11"/>
    <w:rPr>
      <w:sz w:val="28"/>
    </w:rPr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6_ch" w:type="character">
    <w:name w:val="heading 1"/>
    <w:basedOn w:val="Style_3_ch"/>
    <w:link w:val="Style_16"/>
    <w:rPr>
      <w:rFonts w:ascii="Arial" w:hAnsi="Arial"/>
      <w:b w:val="1"/>
      <w:sz w:val="3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3_ch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3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3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2" w:type="paragraph">
    <w:name w:val="Heading"/>
    <w:basedOn w:val="Style_3"/>
    <w:next w:val="Style_3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3_ch"/>
    <w:link w:val="Style_2"/>
    <w:rPr>
      <w:rFonts w:ascii="Arial" w:hAnsi="Arial"/>
      <w:color w:val="00000A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2020-09-23T06:41:04Z</dcterms:modified>
</cp:coreProperties>
</file>