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402"/>
        <w:gridCol w:w="740"/>
      </w:tblGrid>
      <w:tr>
        <w:tc>
          <w:tcPr>
            <w:tcW w:type="dxa" w:w="9921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22.09.2020</w:t>
            </w: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</w:rPr>
              <w:t xml:space="preserve">          пгт. Сандово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№ 11</w:t>
            </w:r>
          </w:p>
          <w:p w14:paraId="07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8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A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  <w:tr>
        <w:tc>
          <w:tcPr>
            <w:tcW w:type="dxa" w:w="5495"/>
            <w:shd w:fill="auto" w:val="clear"/>
          </w:tcPr>
          <w:p w14:paraId="0B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правопреемстве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Думы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округа</w:t>
            </w:r>
          </w:p>
        </w:tc>
        <w:tc>
          <w:tcPr>
            <w:tcW w:type="dxa" w:w="284"/>
            <w:shd w:fill="auto" w:val="clear"/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D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  <w:tr>
        <w:tc>
          <w:tcPr>
            <w:tcW w:type="dxa" w:w="5495"/>
            <w:shd w:fill="auto" w:val="clear"/>
          </w:tcPr>
          <w:p w14:paraId="0E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0F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1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</w:tcPr>
          <w:p/>
        </w:tc>
      </w:tr>
    </w:tbl>
    <w:p w14:paraId="12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5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34 </w:t>
      </w:r>
      <w:r>
        <w:rPr>
          <w:rFonts w:ascii="Times New Roman" w:hAnsi="Times New Roman"/>
          <w:sz w:val="28"/>
        </w:rPr>
        <w:t>Федерального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131-</w:t>
      </w:r>
      <w:r>
        <w:rPr>
          <w:rFonts w:ascii="Times New Roman" w:hAnsi="Times New Roman"/>
          <w:sz w:val="28"/>
        </w:rPr>
        <w:t>ФЗ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3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14:paraId="15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РЕШИЛА:</w:t>
            </w:r>
          </w:p>
        </w:tc>
        <w:tc>
          <w:tcPr>
            <w:tcW w:type="dxa" w:w="1418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A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Считать</w:t>
      </w:r>
      <w:r>
        <w:rPr>
          <w:rFonts w:ascii="Times New Roman" w:hAnsi="Times New Roman"/>
          <w:sz w:val="28"/>
        </w:rPr>
        <w:t xml:space="preserve"> Думу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правопреемником Собрания депутатов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Тверской области</w:t>
      </w:r>
      <w:r>
        <w:rPr>
          <w:rFonts w:ascii="Times New Roman" w:hAnsi="Times New Roman"/>
          <w:sz w:val="28"/>
        </w:rPr>
        <w:t xml:space="preserve">, Совета депутатов </w:t>
      </w:r>
      <w:r>
        <w:rPr>
          <w:rFonts w:ascii="Times New Roman" w:hAnsi="Times New Roman"/>
          <w:sz w:val="28"/>
        </w:rPr>
        <w:t>городского поселения «Поселок Сандово» Сандовского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 xml:space="preserve">, Совета депутатов </w:t>
      </w:r>
      <w:r>
        <w:rPr>
          <w:rFonts w:ascii="Times New Roman" w:hAnsi="Times New Roman"/>
          <w:sz w:val="28"/>
        </w:rPr>
        <w:t>Большемалинского сельского поселения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 xml:space="preserve">Лукинского сельского поселения Сандовского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Совета депутатов Соболинского сельского поселения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депутатов </w:t>
      </w:r>
      <w:r>
        <w:rPr>
          <w:rFonts w:ascii="Times New Roman" w:hAnsi="Times New Roman"/>
          <w:sz w:val="28"/>
        </w:rPr>
        <w:t>Топоровского сельского по</w:t>
      </w:r>
      <w:r>
        <w:rPr>
          <w:rFonts w:ascii="Times New Roman" w:hAnsi="Times New Roman"/>
          <w:sz w:val="28"/>
        </w:rPr>
        <w:t xml:space="preserve">селения Сандовского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 области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отношениях с органами государственной власти Российской Федерации, органами государственной власти Тверской области, органами местного самоуправления, физическими и юридическими ли</w:t>
      </w:r>
      <w:r>
        <w:rPr>
          <w:rFonts w:ascii="Times New Roman" w:hAnsi="Times New Roman"/>
          <w:sz w:val="28"/>
        </w:rPr>
        <w:t>цам</w:t>
      </w:r>
      <w:r>
        <w:rPr>
          <w:rFonts w:ascii="Times New Roman" w:hAnsi="Times New Roman"/>
          <w:sz w:val="28"/>
        </w:rPr>
        <w:t xml:space="preserve">и. </w:t>
      </w:r>
    </w:p>
    <w:p w14:paraId="1B00000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</w:rPr>
        <w:t xml:space="preserve">принятия, </w:t>
      </w:r>
      <w:r>
        <w:rPr>
          <w:rFonts w:ascii="Times New Roman" w:hAnsi="Times New Roman"/>
          <w:sz w:val="28"/>
        </w:rPr>
        <w:t>подл</w:t>
      </w:r>
      <w:r>
        <w:rPr>
          <w:rFonts w:ascii="Times New Roman" w:hAnsi="Times New Roman"/>
          <w:sz w:val="28"/>
        </w:rPr>
        <w:t>ежит официальному опублико</w:t>
      </w:r>
      <w:r>
        <w:rPr>
          <w:rFonts w:ascii="Times New Roman" w:hAnsi="Times New Roman"/>
          <w:sz w:val="28"/>
        </w:rPr>
        <w:t>ванию в газете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</w:rPr>
        <w:t xml:space="preserve">администрации Сандовского района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14:paraId="1C000000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1E000000">
      <w:pPr>
        <w:widowControl w:val="0"/>
        <w:tabs>
          <w:tab w:leader="none" w:pos="10205" w:val="left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О.В.Смирнова</w:t>
      </w:r>
    </w:p>
    <w:sectPr>
      <w:pgSz w:h="16838" w:w="11906"/>
      <w:pgMar w:bottom="737" w:footer="720" w:gutter="0" w:header="720" w:left="1276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ms Rmn" w:hAnsi="Tms Rmn"/>
    </w:rPr>
  </w:style>
  <w:style w:default="1" w:styleId="Style_3_ch" w:type="character">
    <w:name w:val="Normal"/>
    <w:link w:val="Style_3"/>
    <w:rPr>
      <w:rFonts w:ascii="Tms Rmn" w:hAnsi="Tms Rm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1_ch" w:type="character">
    <w:name w:val="heading 1"/>
    <w:basedOn w:val="Style_3_ch"/>
    <w:link w:val="Style_11"/>
    <w:rPr>
      <w:rFonts w:ascii="Arial" w:hAnsi="Arial"/>
      <w:b w:val="1"/>
      <w:sz w:val="3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Default"/>
    <w:link w:val="Style_15_ch"/>
    <w:rPr>
      <w:color w:val="000000"/>
      <w:sz w:val="24"/>
    </w:rPr>
  </w:style>
  <w:style w:styleId="Style_15_ch" w:type="character">
    <w:name w:val="Default"/>
    <w:link w:val="Style_15"/>
    <w:rPr>
      <w:color w:val="000000"/>
      <w:sz w:val="24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header"/>
    <w:basedOn w:val="Style_3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3_ch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" w:type="paragraph">
    <w:name w:val="Heading"/>
    <w:basedOn w:val="Style_3"/>
    <w:next w:val="Style_3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3_ch"/>
    <w:link w:val="Style_2"/>
    <w:rPr>
      <w:rFonts w:ascii="Arial" w:hAnsi="Arial"/>
      <w:color w:val="00000A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ConsPlusNormal"/>
    <w:link w:val="Style_28_ch"/>
    <w:rPr>
      <w:sz w:val="28"/>
    </w:rPr>
  </w:style>
  <w:style w:styleId="Style_28_ch" w:type="character">
    <w:name w:val="ConsPlusNormal"/>
    <w:link w:val="Style_28"/>
    <w:rPr>
      <w:sz w:val="28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2020-09-23T06:40:40Z</dcterms:modified>
</cp:coreProperties>
</file>