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cstheme="minorHAnsi" w:ascii="Times New Roman" w:hAnsi="Times New Roman"/>
          <w:color w:val="010101"/>
          <w:lang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  <w:t>Проект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Сандовского муниципального округа на 2022 год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1. Общие положения </w:t>
      </w:r>
    </w:p>
    <w:p>
      <w:pPr>
        <w:pStyle w:val="Normal"/>
        <w:widowControl/>
        <w:shd w:val="clear" w:color="auto" w:fill="FFFFFF"/>
        <w:spacing w:beforeAutospacing="1" w:afterAutospacing="1"/>
        <w:ind w:firstLine="708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Сандовского муниципального округа.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2. Аналитическая часть Программы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2.1. Вид осуществляемого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на территории Сандовского муниципального округа осуществляется отделом земельных и имущественных отношений Администрации Сандовского муниципального округа (далее – Отдел).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2.2. Обзор по виду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2.3. Муниципальный земельный контроль осуществляется посредством: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профилактических мероприятий;</w:t>
      </w:r>
    </w:p>
    <w:p>
      <w:pPr>
        <w:pStyle w:val="Normal"/>
        <w:widowControl/>
        <w:shd w:val="clear" w:color="auto" w:fill="FFFFFF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sz w:val="24"/>
          <w:lang w:bidi="ar-SA"/>
        </w:rPr>
        <w:t>- контрольных (надзорных) мероприятий, проводимых при взаимодействии с контролируемым лицом и без взаимодействия с контролируемым лицом.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2.4. Контролируемые лица: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Отделом мероприятий по муниципальному земельному контролю: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-Земельный Кодекс Российской Федерации.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2.6. Данные о проведенных мероприятиях.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Проверки проводятся в соответствии с утвержденным планом.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cs="Times New Roman" w:ascii="Times New Roman" w:hAnsi="Times New Roman" w:asciiTheme="minorHAnsi" w:cstheme="minorHAnsi" w:hAnsiTheme="minorHAnsi"/>
        </w:rPr>
        <w:t xml:space="preserve">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>В 2021 году (в период с 01.01.2021 года по 31.12.2021 года) в отношении контролируемых лиц  плановые и внеплановые</w:t>
      </w:r>
      <w:r>
        <w:rPr>
          <w:rFonts w:cs="Times New Roman" w:ascii="Times New Roman" w:hAnsi="Times New Roman" w:asciiTheme="minorHAnsi" w:cstheme="minorHAnsi" w:hAnsiTheme="minorHAnsi"/>
          <w:color w:val="C9211E"/>
          <w:shd w:fill="auto" w:val="clear"/>
        </w:rPr>
        <w:t xml:space="preserve"> 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проверки соблюдения земельного законодательства  проводились на 50 земельных участках. 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2.7. Анализ и оценка рисков причинения вреда охраняемым законом ценностям.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Мониторинг состояния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Проведение профилактических мероприятий, направленных на соблюдение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lang w:bidi="ar-SA"/>
        </w:rPr>
        <w:t xml:space="preserve"> 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3. Цели и задачи Программы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3.1. Цели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3.2. Задачи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прозрачности осуществляемой Отделом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4. План мероприятий по профилактике нарушений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5. Показатели результативности и эффективности Программы.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Отчетные показатели Программы за 2021 год: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субъектов- 48%.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-  профилактических мероприятий -</w:t>
      </w:r>
      <w:r>
        <w:rPr>
          <w:rFonts w:eastAsia="Times New Roman" w:cs="Times New Roman" w:ascii="Times New Roman" w:hAnsi="Times New Roman" w:cstheme="minorHAnsi"/>
          <w:color w:val="C9211E"/>
          <w:shd w:fill="auto" w:val="clear"/>
          <w:lang w:bidi="ar-SA"/>
        </w:rPr>
        <w:t xml:space="preserve"> 2.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highlight w:val="none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Экономический эффект от реализованных мероприятий: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highlight w:val="none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highlight w:val="none"/>
          <w:shd w:fill="FFFF00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повышение уровня доверия подконтрольных субъектов к Управлению.</w:t>
      </w:r>
      <w:r>
        <w:rPr>
          <w:rFonts w:eastAsia="Times New Roman" w:cs="Times New Roman" w:ascii="Times New Roman" w:hAnsi="Times New Roman" w:cstheme="minorHAnsi"/>
          <w:color w:val="010101"/>
          <w:shd w:fill="FFFF00" w:val="clear"/>
          <w:lang w:bidi="ar-SA"/>
        </w:rPr>
        <w:t>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6. Порядок управления Программой.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Перечень должностных лиц Отдела, ответственных за организацию и проведение профилактических мероприятий при осуществлении муниципального земельного контроля на территории Сандовского муниципального округа</w:t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4314"/>
        <w:gridCol w:w="2897"/>
        <w:gridCol w:w="1802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Должностные лица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Функции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Контакты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en-US" w:bidi="ar-SA"/>
              </w:rPr>
              <w:t xml:space="preserve"> з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ru-RU" w:bidi="ar-SA"/>
              </w:rPr>
              <w:t xml:space="preserve">емельных и имущественных отношений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администрации Сандовского муниципального округа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Организация и проведение мероприятий по реализации программы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8 (48272) 2-10-82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kui@sandovoregion.ru</w:t>
            </w:r>
          </w:p>
        </w:tc>
      </w:tr>
    </w:tbl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Сандовского муниципального округа на 2022 год.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Результаты профилактической работы Отдела включаются в Доклад об осуществлении муниципального земельного на территории Сандовского муниципального округа на 2022 год.</w:t>
      </w:r>
    </w:p>
    <w:p>
      <w:pPr>
        <w:pStyle w:val="Normal"/>
        <w:widowControl/>
        <w:shd w:val="clear" w:color="auto" w:fill="FFFFFF"/>
        <w:spacing w:beforeAutospacing="1" w:afterAutospacing="1"/>
        <w:jc w:val="right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i/>
          <w:iCs/>
          <w:color w:val="010101"/>
          <w:lang w:bidi="ar-SA"/>
        </w:rPr>
        <w:t>Приложение к Программе профилактики рисков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br/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i/>
          <w:iCs/>
          <w:color w:val="010101"/>
          <w:lang w:bidi="ar-SA"/>
        </w:rPr>
        <w:t>причинения вреда (ущерба)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br/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i/>
          <w:iCs/>
          <w:color w:val="010101"/>
          <w:lang w:bidi="ar-SA"/>
        </w:rPr>
        <w:t>охраняемым законом ценностям на 2022 год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План мероприятий по профилактике нарушений земельного законодательства на территории Сандовского муниципального округа на 2022 год </w:t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2378"/>
        <w:gridCol w:w="3473"/>
        <w:gridCol w:w="1839"/>
        <w:gridCol w:w="1324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Наименование мероприятия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Сведения о мероприятии</w:t>
            </w:r>
          </w:p>
        </w:tc>
        <w:tc>
          <w:tcPr>
            <w:tcW w:w="1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Срок исполнения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1.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Информирование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Информирование осуществляется посредством размещения соответствующих сведений на официальном сайте Сандовского муниципального округа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в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информационно-телекоммуникационной сети "Интернет" и в иных формах.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размещает и поддерживает в актуальном состоянии на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FF0000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официальном сайте Сандовского муниципального округа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информационно-телекоммуникационной сети «Интернет»: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010101"/>
                <w:lang w:bidi="ar-SA"/>
              </w:rPr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2.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Обобщение правоприменительной практики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Доклад о правоприменительной практике при осуществлении муниципального контроля готовится и размещается на официальном сайте Сандовского муниципального округа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 раз в год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3.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Объявление предостережения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sz w:val="24"/>
                <w:lang w:bidi="ar-SA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Контролируемое лицо вправе после получения предостережения о недопустимости нарушения 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4.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 минут.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Консультирование, осуществляется по следующим вопросам: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порядок обжалования действий (бездействия) муниципальных служащих.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Сандовского муниципального округа в информационно-телекоммуникационной сети «Интернет» на странице Контрольно-надзорная деятельность письменного разъяснения.</w:t>
            </w:r>
          </w:p>
        </w:tc>
        <w:tc>
          <w:tcPr>
            <w:tcW w:w="1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</w:tbl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 Unicode MS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" w:asciiTheme="minorHAnsi" w:cstheme="minorBid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5e3"/>
    <w:pPr>
      <w:widowControl w:val="false"/>
      <w:suppressAutoHyphens w:val="true"/>
      <w:bidi w:val="0"/>
      <w:spacing w:before="0" w:after="0"/>
      <w:jc w:val="center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2">
    <w:name w:val="Heading 2"/>
    <w:basedOn w:val="Normal"/>
    <w:link w:val="20"/>
    <w:uiPriority w:val="9"/>
    <w:qFormat/>
    <w:rsid w:val="002f52bc"/>
    <w:pPr>
      <w:widowControl/>
      <w:spacing w:beforeAutospacing="1" w:afterAutospacing="1"/>
      <w:jc w:val="left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5e3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f52b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2f52b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2f52bc"/>
    <w:pPr>
      <w:widowControl/>
      <w:spacing w:beforeAutospacing="1" w:afterAutospacing="1"/>
      <w:jc w:val="left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LibreOffice/7.2.0.4$Windows_X86_64 LibreOffice_project/9a9c6381e3f7a62afc1329bd359cc48accb6435b</Application>
  <AppVersion>15.0000</AppVersion>
  <Pages>7</Pages>
  <Words>1179</Words>
  <Characters>9412</Characters>
  <CharactersWithSpaces>10521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2021-10-18T20:49:00Z</dcterms:created>
  <dc:creator>настя</dc:creator>
  <dc:description/>
  <dc:language>ru-RU</dc:language>
  <cp:lastModifiedBy/>
  <dcterms:modified xsi:type="dcterms:W3CDTF">2021-10-22T09:33:59Z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