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F8567" w14:textId="77777777" w:rsidR="00AC7CA4" w:rsidRDefault="00F76E17">
      <w:pPr>
        <w:pStyle w:val="Textbody"/>
        <w:jc w:val="center"/>
        <w:rPr>
          <w:rFonts w:ascii="Open Sans" w:hAnsi="Open Sans"/>
          <w:b/>
          <w:color w:val="1C1C1C"/>
        </w:rPr>
      </w:pPr>
      <w:r>
        <w:rPr>
          <w:rFonts w:ascii="Open Sans" w:hAnsi="Open Sans"/>
          <w:b/>
          <w:color w:val="1C1C1C"/>
        </w:rPr>
        <w:t>ДОКЛАД</w:t>
      </w:r>
    </w:p>
    <w:p w14:paraId="460D8D5F" w14:textId="77777777" w:rsidR="00AC7CA4" w:rsidRDefault="00F76E17">
      <w:pPr>
        <w:pStyle w:val="Textbody"/>
        <w:jc w:val="center"/>
        <w:rPr>
          <w:rFonts w:hint="eastAsia"/>
          <w:color w:val="1C1C1C"/>
        </w:rPr>
      </w:pPr>
      <w:r>
        <w:rPr>
          <w:rFonts w:ascii="Open Sans" w:hAnsi="Open Sans"/>
          <w:b/>
          <w:color w:val="1C1C1C"/>
        </w:rPr>
        <w:t>обобщения правоприменительной практики организации и проведения</w:t>
      </w:r>
      <w:r>
        <w:rPr>
          <w:rFonts w:ascii="Open Sans" w:hAnsi="Open Sans"/>
          <w:b/>
          <w:color w:val="1C1C1C"/>
        </w:rPr>
        <w:t xml:space="preserve">  муниципального жилищного контроля на территории Сандовского муниципального округа за 2023 год</w:t>
      </w:r>
    </w:p>
    <w:p w14:paraId="10F53DE5" w14:textId="77777777" w:rsidR="00AC7CA4" w:rsidRDefault="00F76E17">
      <w:pPr>
        <w:pStyle w:val="Textbody"/>
        <w:jc w:val="both"/>
        <w:rPr>
          <w:rFonts w:hint="eastAsia"/>
          <w:color w:val="1C1C1C"/>
        </w:rPr>
      </w:pPr>
      <w:r>
        <w:rPr>
          <w:color w:val="1C1C1C"/>
          <w:lang w:val="en-US"/>
        </w:rPr>
        <w:tab/>
      </w:r>
      <w:r>
        <w:rPr>
          <w:color w:val="1C1C1C"/>
        </w:rPr>
        <w:t xml:space="preserve"> </w:t>
      </w:r>
      <w:r>
        <w:rPr>
          <w:rFonts w:ascii="Times New Roman" w:hAnsi="Times New Roman"/>
          <w:color w:val="1C1C1C"/>
          <w:sz w:val="26"/>
          <w:szCs w:val="26"/>
        </w:rPr>
        <w:t>Доклад подготовлен в соответствии с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07.12.2020 № 2041 «Об утверждении требований к подготовке докладов о видах государственного контроля (надзора), муниципального контроля и сводного доклада о государственном контроле (надзоре), муниципальном контроле в Российской Федерации».</w:t>
      </w:r>
    </w:p>
    <w:p w14:paraId="2B543F80" w14:textId="77777777" w:rsidR="00AC7CA4" w:rsidRDefault="00F76E17">
      <w:pPr>
        <w:pStyle w:val="Textbody"/>
        <w:jc w:val="center"/>
        <w:rPr>
          <w:rFonts w:ascii="Times New Roman" w:hAnsi="Times New Roman"/>
          <w:b/>
          <w:color w:val="1C1C1C"/>
          <w:sz w:val="26"/>
          <w:szCs w:val="26"/>
        </w:rPr>
      </w:pPr>
      <w:r>
        <w:rPr>
          <w:rFonts w:ascii="Times New Roman" w:hAnsi="Times New Roman"/>
          <w:b/>
          <w:color w:val="1C1C1C"/>
          <w:sz w:val="26"/>
          <w:szCs w:val="26"/>
        </w:rPr>
        <w:t>1. Общие сведения о муниципальном жилищном контроле</w:t>
      </w:r>
    </w:p>
    <w:p w14:paraId="5A14EC03" w14:textId="77777777" w:rsidR="00AC7CA4" w:rsidRDefault="00F76E17">
      <w:pPr>
        <w:pStyle w:val="Textbody"/>
        <w:jc w:val="both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i/>
          <w:color w:val="1C1C1C"/>
          <w:sz w:val="26"/>
          <w:szCs w:val="26"/>
        </w:rPr>
        <w:t>а) нормативно-правовое регулирование муниципального жилищного контроля</w:t>
      </w:r>
      <w:r>
        <w:rPr>
          <w:rFonts w:ascii="Times New Roman" w:hAnsi="Times New Roman"/>
          <w:color w:val="1C1C1C"/>
          <w:sz w:val="26"/>
          <w:szCs w:val="26"/>
        </w:rPr>
        <w:t> </w:t>
      </w:r>
    </w:p>
    <w:p w14:paraId="6FAF191C" w14:textId="77777777" w:rsidR="00AC7CA4" w:rsidRDefault="00F76E17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color w:val="1C1C1C"/>
          <w:sz w:val="26"/>
          <w:szCs w:val="26"/>
        </w:rPr>
        <w:t>Муниципальный жилищный контроль в Сандовском муниципальном округе</w:t>
      </w:r>
      <w:r>
        <w:rPr>
          <w:rFonts w:ascii="Times New Roman" w:hAnsi="Times New Roman"/>
          <w:color w:val="1C1C1C"/>
          <w:sz w:val="26"/>
          <w:szCs w:val="26"/>
        </w:rPr>
        <w:t xml:space="preserve"> осуществляется в соответствии с Жилищным </w:t>
      </w:r>
      <w:hyperlink r:id="rId6" w:history="1">
        <w:r>
          <w:rPr>
            <w:rFonts w:ascii="Times New Roman" w:hAnsi="Times New Roman"/>
            <w:color w:val="16683F"/>
            <w:sz w:val="26"/>
            <w:szCs w:val="26"/>
          </w:rPr>
          <w:t>кодексом</w:t>
        </w:r>
      </w:hyperlink>
      <w:r>
        <w:rPr>
          <w:rFonts w:ascii="Times New Roman" w:hAnsi="Times New Roman"/>
          <w:color w:val="1C1C1C"/>
          <w:sz w:val="26"/>
          <w:szCs w:val="26"/>
        </w:rPr>
        <w:t> Российской Федерации, Федеральным законом от 31.07.2020 № 248-ФЗ «О государственном контроле (надзоре) и муниципальном контроле в Российской Федерации», решением Думы Сандовского муниципального округа Тверской области от 14.12.2021 № 144 «Об утверждении Положения о муниципальном жилищном контроле на территории Сандовского муниципального округа Тверской области».</w:t>
      </w:r>
    </w:p>
    <w:p w14:paraId="2B634833" w14:textId="77777777" w:rsidR="00AC7CA4" w:rsidRDefault="00F76E17">
      <w:pPr>
        <w:pStyle w:val="Textbody"/>
        <w:jc w:val="both"/>
        <w:rPr>
          <w:rFonts w:ascii="Times New Roman" w:hAnsi="Times New Roman"/>
          <w:i/>
          <w:color w:val="1C1C1C"/>
          <w:sz w:val="26"/>
          <w:szCs w:val="26"/>
        </w:rPr>
      </w:pPr>
      <w:r>
        <w:rPr>
          <w:rFonts w:ascii="Times New Roman" w:hAnsi="Times New Roman"/>
          <w:i/>
          <w:color w:val="1C1C1C"/>
          <w:sz w:val="26"/>
          <w:szCs w:val="26"/>
        </w:rPr>
        <w:t>б) предмет муниципального жилищного контроля</w:t>
      </w:r>
    </w:p>
    <w:p w14:paraId="1AD59E47" w14:textId="77777777" w:rsidR="00AC7CA4" w:rsidRDefault="00F76E17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color w:val="1C1C1C"/>
          <w:sz w:val="26"/>
          <w:szCs w:val="26"/>
        </w:rPr>
        <w:t>В соответствии со статьей 20 Жилищного кодекса Российской Федерации предметом муниципального жилищного контроля является соблюдение юридическими лицами, индивидуальными предпринимателями и гражданами обязательных </w:t>
      </w:r>
      <w:hyperlink r:id="rId7" w:history="1">
        <w:r>
          <w:rPr>
            <w:rFonts w:ascii="Times New Roman" w:hAnsi="Times New Roman"/>
            <w:color w:val="16683F"/>
            <w:sz w:val="26"/>
            <w:szCs w:val="26"/>
          </w:rPr>
          <w:t>требований</w:t>
        </w:r>
      </w:hyperlink>
      <w:r>
        <w:rPr>
          <w:rFonts w:ascii="Times New Roman" w:hAnsi="Times New Roman"/>
          <w:color w:val="1C1C1C"/>
          <w:sz w:val="26"/>
          <w:szCs w:val="26"/>
        </w:rPr>
        <w:t>, установленных жилищным законодательством, законодательством об энергосбережении и о повышении энергетической эффективности в отношении жилищного фонда, за исключением муниципального жилищного фонда:</w:t>
      </w:r>
    </w:p>
    <w:p w14:paraId="1025C3CA" w14:textId="77777777" w:rsidR="00AC7CA4" w:rsidRDefault="00F76E17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color w:val="1C1C1C"/>
          <w:sz w:val="26"/>
          <w:szCs w:val="26"/>
        </w:rPr>
        <w:t>1) требований к использованию и сохранности жилищного фонда, в том числе </w:t>
      </w:r>
      <w:hyperlink r:id="rId8" w:history="1">
        <w:r>
          <w:rPr>
            <w:rFonts w:ascii="Times New Roman" w:hAnsi="Times New Roman"/>
            <w:color w:val="16683F"/>
            <w:sz w:val="26"/>
            <w:szCs w:val="26"/>
          </w:rPr>
          <w:t>требований</w:t>
        </w:r>
      </w:hyperlink>
      <w:r>
        <w:rPr>
          <w:rFonts w:ascii="Times New Roman" w:hAnsi="Times New Roman"/>
          <w:color w:val="1C1C1C"/>
          <w:sz w:val="26"/>
          <w:szCs w:val="26"/>
        </w:rPr>
        <w:t> 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13D4E67D" w14:textId="77777777" w:rsidR="00AC7CA4" w:rsidRDefault="00F76E17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color w:val="1C1C1C"/>
          <w:sz w:val="26"/>
          <w:szCs w:val="26"/>
        </w:rPr>
        <w:t>2) требований к </w:t>
      </w:r>
      <w:hyperlink r:id="rId9" w:history="1">
        <w:r>
          <w:rPr>
            <w:rFonts w:ascii="Times New Roman" w:hAnsi="Times New Roman"/>
            <w:color w:val="16683F"/>
            <w:sz w:val="26"/>
            <w:szCs w:val="26"/>
          </w:rPr>
          <w:t>формированию</w:t>
        </w:r>
      </w:hyperlink>
      <w:r>
        <w:rPr>
          <w:rFonts w:ascii="Times New Roman" w:hAnsi="Times New Roman"/>
          <w:color w:val="1C1C1C"/>
          <w:sz w:val="26"/>
          <w:szCs w:val="26"/>
        </w:rPr>
        <w:t> фондов капитального ремонта;</w:t>
      </w:r>
    </w:p>
    <w:p w14:paraId="699B1589" w14:textId="77777777" w:rsidR="00AC7CA4" w:rsidRDefault="00F76E17">
      <w:pPr>
        <w:pStyle w:val="Textbody"/>
        <w:jc w:val="both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 xml:space="preserve">3) требований к созданию и деятельности юридических лиц, индивидуальных предпринимателей, осуществляющих управление многоквартирными домами, </w:t>
      </w:r>
      <w:r>
        <w:rPr>
          <w:rFonts w:ascii="Times New Roman" w:hAnsi="Times New Roman"/>
          <w:color w:val="1C1C1C"/>
          <w:sz w:val="26"/>
          <w:szCs w:val="26"/>
        </w:rPr>
        <w:lastRenderedPageBreak/>
        <w:t>оказывающих услуги и (или) выполняющих работы по содержанию и ремонту общего имущества в многоквартирных домах;</w:t>
      </w:r>
    </w:p>
    <w:p w14:paraId="7D961796" w14:textId="77777777" w:rsidR="00AC7CA4" w:rsidRDefault="00F76E17">
      <w:pPr>
        <w:pStyle w:val="Textbody"/>
        <w:jc w:val="both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0213C823" w14:textId="77777777" w:rsidR="00AC7CA4" w:rsidRDefault="00F76E17">
      <w:pPr>
        <w:pStyle w:val="Textbody"/>
        <w:jc w:val="both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4BF196E5" w14:textId="77777777" w:rsidR="00AC7CA4" w:rsidRDefault="00F76E17">
      <w:pPr>
        <w:pStyle w:val="Textbody"/>
        <w:jc w:val="both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0E36A12B" w14:textId="77777777" w:rsidR="00AC7CA4" w:rsidRDefault="00F76E17">
      <w:pPr>
        <w:pStyle w:val="Textbody"/>
        <w:jc w:val="both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60D1AE29" w14:textId="77777777" w:rsidR="00AC7CA4" w:rsidRDefault="00F76E17">
      <w:pPr>
        <w:pStyle w:val="Textbody"/>
        <w:jc w:val="both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671335EE" w14:textId="77777777" w:rsidR="00AC7CA4" w:rsidRDefault="00F76E17">
      <w:pPr>
        <w:pStyle w:val="Textbody"/>
        <w:jc w:val="both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 xml:space="preserve">9) требований к порядку размещения </w:t>
      </w:r>
      <w:r>
        <w:rPr>
          <w:rFonts w:ascii="Times New Roman" w:hAnsi="Times New Roman"/>
          <w:color w:val="1C1C1C"/>
          <w:sz w:val="26"/>
          <w:szCs w:val="26"/>
        </w:rPr>
        <w:t>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6708DFE6" w14:textId="77777777" w:rsidR="00AC7CA4" w:rsidRDefault="00F76E17">
      <w:pPr>
        <w:pStyle w:val="Textbody"/>
        <w:jc w:val="both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>10) требований к обеспечению доступности для инвалидов помещений в многоквартирных домах;</w:t>
      </w:r>
    </w:p>
    <w:p w14:paraId="5A825EBC" w14:textId="77777777" w:rsidR="00AC7CA4" w:rsidRDefault="00F76E17">
      <w:pPr>
        <w:pStyle w:val="Textbody"/>
        <w:jc w:val="both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>11) требований к предоставлению жилых помещений в наемных домах социального использования.</w:t>
      </w:r>
    </w:p>
    <w:p w14:paraId="56792684" w14:textId="77777777" w:rsidR="00AC7CA4" w:rsidRDefault="00F76E17">
      <w:pPr>
        <w:pStyle w:val="Textbody"/>
        <w:jc w:val="both"/>
        <w:rPr>
          <w:rFonts w:ascii="Times New Roman" w:hAnsi="Times New Roman"/>
          <w:i/>
          <w:color w:val="1C1C1C"/>
          <w:sz w:val="26"/>
          <w:szCs w:val="26"/>
        </w:rPr>
      </w:pPr>
      <w:r>
        <w:rPr>
          <w:rFonts w:ascii="Times New Roman" w:hAnsi="Times New Roman"/>
          <w:i/>
          <w:color w:val="1C1C1C"/>
          <w:sz w:val="26"/>
          <w:szCs w:val="26"/>
        </w:rPr>
        <w:t>в) объекты муниципального жилищного контроля и организация их учета</w:t>
      </w:r>
    </w:p>
    <w:p w14:paraId="00C77617" w14:textId="77777777" w:rsidR="00AC7CA4" w:rsidRDefault="00F76E17">
      <w:pPr>
        <w:pStyle w:val="Textbody"/>
        <w:jc w:val="both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>В соответствии с Положением о муниципальном жилищном контроле в Сандовском муниципальном округе, утвержденным решением Думы Сандовского муниципального округа от 14.12.2021 № 144, объектами муниципального жилищного контроля являются:</w:t>
      </w:r>
    </w:p>
    <w:p w14:paraId="7F0A058D" w14:textId="77777777" w:rsidR="00AC7CA4" w:rsidRDefault="00F76E17">
      <w:pPr>
        <w:pStyle w:val="Textbody"/>
        <w:jc w:val="both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>- деятельность, действия (бездействие) контролируемых лиц,  в рамках которых должны соблюдаться обязательные требования, в том числе предъявляемые к контролируемым лицам, осуществляющим деятельность, действия(бездействие):</w:t>
      </w:r>
    </w:p>
    <w:p w14:paraId="3E83F114" w14:textId="77777777" w:rsidR="00AC7CA4" w:rsidRDefault="00F76E17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-результаты деятельности контролируемых лиц, в том числе работы и услуги, к которым предъявляются обязательные требования;</w:t>
      </w:r>
    </w:p>
    <w:p w14:paraId="66C45F36" w14:textId="77777777" w:rsidR="00AC7CA4" w:rsidRDefault="00F76E17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здания, строения, сооружения, территории, включая земельные участки, предметы и другие объекты, которыми контролируемые лицами владеют и (или) пользуются и к которым предъявляются обязательные требования.</w:t>
      </w:r>
    </w:p>
    <w:p w14:paraId="16857762" w14:textId="77777777" w:rsidR="00AC7CA4" w:rsidRDefault="00AC7CA4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14:paraId="19419922" w14:textId="77777777" w:rsidR="00AC7CA4" w:rsidRDefault="00F76E17">
      <w:pPr>
        <w:pStyle w:val="Standard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Учет объектов контроля осуществляется посредством создания:</w:t>
      </w:r>
    </w:p>
    <w:p w14:paraId="049C7F7A" w14:textId="77777777" w:rsidR="00AC7CA4" w:rsidRDefault="00F76E17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единого реестра контрольных мероприятий;</w:t>
      </w:r>
    </w:p>
    <w:p w14:paraId="02D321CC" w14:textId="77777777" w:rsidR="00AC7CA4" w:rsidRDefault="00F76E17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информационной системы (подсистемы государственной информационной системы) досудебного обжалования;</w:t>
      </w:r>
    </w:p>
    <w:p w14:paraId="78C4449B" w14:textId="77777777" w:rsidR="00AC7CA4" w:rsidRDefault="00F76E17">
      <w:pPr>
        <w:pStyle w:val="ConsPlus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иных государственных и муниципальных информационных систем путем межведомственного информационного взаимодействия.</w:t>
      </w:r>
    </w:p>
    <w:p w14:paraId="1C88E2AD" w14:textId="77777777" w:rsidR="00AC7CA4" w:rsidRDefault="00F76E17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Муниципальный контроль осуществляется Администрацией Сандовского муниципального округа Тверской области (далее – Контрольный орган).</w:t>
      </w:r>
    </w:p>
    <w:p w14:paraId="4A6CD4B3" w14:textId="77777777" w:rsidR="00AC7CA4" w:rsidRDefault="00F76E17">
      <w:pPr>
        <w:pStyle w:val="Standard"/>
        <w:ind w:firstLine="709"/>
        <w:jc w:val="both"/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 xml:space="preserve"> От имени Администрации осуществление муниципального контроля возлагается на отдел жизнеобеспечения Администрации Сандовского муниципального округа </w:t>
      </w:r>
      <w:r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  <w:lang w:val="en-US"/>
        </w:rPr>
        <w:t>(</w:t>
      </w:r>
      <w:r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далее-отдел)</w:t>
      </w:r>
      <w:r>
        <w:rPr>
          <w:rFonts w:ascii="Times New Roman" w:hAnsi="Times New Roman" w:cs="Times New Roman"/>
          <w:color w:val="010101"/>
          <w:sz w:val="26"/>
          <w:szCs w:val="26"/>
          <w:shd w:val="clear" w:color="auto" w:fill="FFFFFF"/>
        </w:rPr>
        <w:t>.</w:t>
      </w:r>
    </w:p>
    <w:p w14:paraId="4C28A64D" w14:textId="77777777" w:rsidR="00AC7CA4" w:rsidRDefault="00F76E17">
      <w:pPr>
        <w:pStyle w:val="ConsPlusTitle"/>
        <w:ind w:left="1543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>
        <w:rPr>
          <w:sz w:val="26"/>
          <w:szCs w:val="26"/>
        </w:rPr>
        <w:t>Категории риска причинения вреда (ущерба)</w:t>
      </w:r>
    </w:p>
    <w:p w14:paraId="4E80B88E" w14:textId="77777777" w:rsidR="00AC7CA4" w:rsidRDefault="00AC7CA4">
      <w:pPr>
        <w:pStyle w:val="ConsPlusNormal"/>
        <w:ind w:firstLine="709"/>
        <w:jc w:val="both"/>
        <w:rPr>
          <w:sz w:val="26"/>
          <w:szCs w:val="26"/>
        </w:rPr>
      </w:pPr>
    </w:p>
    <w:p w14:paraId="3B34FE98" w14:textId="77777777" w:rsidR="00AC7CA4" w:rsidRDefault="00F76E17">
      <w:pPr>
        <w:pStyle w:val="a5"/>
        <w:tabs>
          <w:tab w:val="left" w:pos="-6663"/>
        </w:tabs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С</w:t>
      </w:r>
      <w:r>
        <w:rPr>
          <w:rFonts w:ascii="Times New Roman" w:hAnsi="Times New Roman" w:cs="Times New Roman"/>
          <w:sz w:val="26"/>
          <w:szCs w:val="26"/>
        </w:rPr>
        <w:t xml:space="preserve">истема оценки и управления рисками при осуществлении муниципального </w:t>
      </w:r>
      <w:r>
        <w:rPr>
          <w:rFonts w:ascii="Times New Roman" w:hAnsi="Times New Roman" w:cs="Times New Roman"/>
          <w:sz w:val="26"/>
          <w:szCs w:val="26"/>
        </w:rPr>
        <w:t xml:space="preserve">жилищного </w:t>
      </w:r>
      <w:r>
        <w:rPr>
          <w:rFonts w:ascii="Times New Roman" w:hAnsi="Times New Roman" w:cs="Times New Roman"/>
          <w:sz w:val="26"/>
          <w:szCs w:val="26"/>
        </w:rPr>
        <w:t>контроля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не применяется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7B17F358" w14:textId="77777777" w:rsidR="00AC7CA4" w:rsidRDefault="00F76E17">
      <w:pPr>
        <w:pStyle w:val="Textbody"/>
        <w:jc w:val="center"/>
        <w:rPr>
          <w:rFonts w:ascii="Times New Roman" w:hAnsi="Times New Roman"/>
          <w:b/>
          <w:color w:val="1C1C1C"/>
          <w:sz w:val="26"/>
          <w:szCs w:val="26"/>
        </w:rPr>
      </w:pPr>
      <w:r>
        <w:rPr>
          <w:rFonts w:ascii="Times New Roman" w:hAnsi="Times New Roman"/>
          <w:b/>
          <w:color w:val="1C1C1C"/>
          <w:sz w:val="26"/>
          <w:szCs w:val="26"/>
        </w:rPr>
        <w:br/>
      </w:r>
      <w:r>
        <w:rPr>
          <w:rFonts w:ascii="Times New Roman" w:hAnsi="Times New Roman"/>
          <w:b/>
          <w:color w:val="1C1C1C"/>
          <w:sz w:val="26"/>
          <w:szCs w:val="26"/>
        </w:rPr>
        <w:t xml:space="preserve">3.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Виды профилактических мероприятий, которые проводятся при осуществлении муниципального контроля</w:t>
      </w:r>
    </w:p>
    <w:p w14:paraId="60DF66E9" w14:textId="77777777" w:rsidR="00AC7CA4" w:rsidRDefault="00F76E17">
      <w:pPr>
        <w:pStyle w:val="Textbody"/>
        <w:jc w:val="both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 xml:space="preserve">   Перечень профилактических мероприятий на 2023 год отражен в Программе профилактики рисков причинения вреда (ущерба) охраняемым законом ценностям в рамках осуществления муниципального жилищного контроля на 2023 год (далее – Программа профилактики рисков на 2023 год), разработанной и утвержденной в соответствии с требованиями Федерального закона от 31.07.2020 № 248-ФЗ «О государственном контроле (надзоре) и муниципальном контроле в Российской Федерации», Правил разработки и утверждения контрольными (надзор</w:t>
      </w:r>
      <w:r>
        <w:rPr>
          <w:rFonts w:ascii="Times New Roman" w:hAnsi="Times New Roman"/>
          <w:color w:val="1C1C1C"/>
          <w:sz w:val="26"/>
          <w:szCs w:val="26"/>
        </w:rPr>
        <w:t>ными) органами программы профилактики рисков причинения вреда (ущерба) охраняемым законом ценностям, утвержденных постановлением Правительства Российской Федерации от 25.06.2021 № 990.</w:t>
      </w:r>
    </w:p>
    <w:p w14:paraId="757BE0DE" w14:textId="77777777" w:rsidR="00AC7CA4" w:rsidRDefault="00F76E17">
      <w:pPr>
        <w:pStyle w:val="Textbody"/>
        <w:jc w:val="both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>Программой профилактики рисков на 2023 год были предусмотрены следующие профилактические мероприятия:</w:t>
      </w:r>
    </w:p>
    <w:p w14:paraId="2C6E97E4" w14:textId="77777777" w:rsidR="00AC7CA4" w:rsidRDefault="00F76E17">
      <w:pPr>
        <w:pStyle w:val="Textbody"/>
        <w:jc w:val="both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>1) информирование;</w:t>
      </w:r>
    </w:p>
    <w:p w14:paraId="29C5C764" w14:textId="77777777" w:rsidR="00AC7CA4" w:rsidRDefault="00F76E17">
      <w:pPr>
        <w:pStyle w:val="Textbody"/>
        <w:jc w:val="both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>2) обобщение правоприменительной практики;</w:t>
      </w:r>
    </w:p>
    <w:p w14:paraId="237F1EB2" w14:textId="77777777" w:rsidR="00AC7CA4" w:rsidRDefault="00F76E17">
      <w:pPr>
        <w:pStyle w:val="Textbody"/>
        <w:jc w:val="both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>3) объявление предостережения;</w:t>
      </w:r>
    </w:p>
    <w:p w14:paraId="5EC9648F" w14:textId="77777777" w:rsidR="00AC7CA4" w:rsidRDefault="00F76E17">
      <w:pPr>
        <w:pStyle w:val="Textbody"/>
        <w:jc w:val="both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>4) консультирование</w:t>
      </w:r>
    </w:p>
    <w:p w14:paraId="6F23B03E" w14:textId="77777777" w:rsidR="00AC7CA4" w:rsidRDefault="00F76E17">
      <w:pPr>
        <w:pStyle w:val="Textbody"/>
        <w:jc w:val="both"/>
        <w:rPr>
          <w:rFonts w:ascii="Times New Roman" w:hAnsi="Times New Roman"/>
          <w:color w:val="1C1C1C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>5) профилактический визит</w:t>
      </w:r>
    </w:p>
    <w:p w14:paraId="472D22C0" w14:textId="77777777" w:rsidR="00AC7CA4" w:rsidRDefault="00F76E17">
      <w:pPr>
        <w:pStyle w:val="Textbody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 xml:space="preserve">       В рамках профилактического мероприятия «Информирование» </w:t>
      </w:r>
      <w:r>
        <w:rPr>
          <w:rFonts w:ascii="Times New Roman" w:hAnsi="Times New Roman"/>
          <w:color w:val="1C1C1C"/>
          <w:sz w:val="26"/>
          <w:szCs w:val="26"/>
        </w:rPr>
        <w:t>осуществляется на официальном сайте Администрации округа в информационно-телекоммуникационной сети Интернет .</w:t>
      </w:r>
    </w:p>
    <w:p w14:paraId="299AECB4" w14:textId="77777777" w:rsidR="00AC7CA4" w:rsidRDefault="00F76E17">
      <w:pPr>
        <w:pStyle w:val="a5"/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color w:val="1C1C1C"/>
          <w:sz w:val="26"/>
          <w:szCs w:val="26"/>
        </w:rPr>
      </w:pPr>
      <w:r>
        <w:rPr>
          <w:rFonts w:ascii="Times New Roman" w:hAnsi="Times New Roman" w:cs="Times New Roman"/>
          <w:color w:val="1C1C1C"/>
          <w:sz w:val="26"/>
          <w:szCs w:val="26"/>
        </w:rPr>
        <w:t>Обобщение правоприменительной практики организации и проведения муниципального контроля осуществляется ежегодно.</w:t>
      </w:r>
    </w:p>
    <w:p w14:paraId="37777DC6" w14:textId="77777777" w:rsidR="00AC7CA4" w:rsidRDefault="00F76E17">
      <w:pPr>
        <w:pStyle w:val="Standard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Предостережений о недопустимости нарушения </w:t>
      </w:r>
      <w:r>
        <w:rPr>
          <w:rFonts w:ascii="Times New Roman" w:hAnsi="Times New Roman" w:cs="Times New Roman"/>
          <w:color w:val="1C1C1C"/>
          <w:sz w:val="26"/>
          <w:szCs w:val="26"/>
        </w:rPr>
        <w:t>обязательных требований в 2023 году не выносилось.</w:t>
      </w:r>
    </w:p>
    <w:p w14:paraId="7E20DA3C" w14:textId="77777777" w:rsidR="00AC7CA4" w:rsidRDefault="00F76E17">
      <w:pPr>
        <w:pStyle w:val="ConsPlusNormal"/>
        <w:ind w:firstLine="709"/>
        <w:jc w:val="both"/>
        <w:rPr>
          <w:color w:val="1C1C1C"/>
          <w:sz w:val="26"/>
          <w:szCs w:val="26"/>
        </w:rPr>
      </w:pPr>
      <w:r>
        <w:rPr>
          <w:color w:val="1C1C1C"/>
          <w:sz w:val="26"/>
          <w:szCs w:val="26"/>
        </w:rPr>
        <w:t xml:space="preserve">Консультирование контролируемых лиц и их представителей осуществляется по </w:t>
      </w:r>
      <w:r>
        <w:rPr>
          <w:color w:val="1C1C1C"/>
          <w:sz w:val="26"/>
          <w:szCs w:val="26"/>
        </w:rPr>
        <w:lastRenderedPageBreak/>
        <w:t>вопросам, связанным с организацией и осуществлением муниципального контроля.</w:t>
      </w:r>
    </w:p>
    <w:p w14:paraId="4D6130AC" w14:textId="77777777" w:rsidR="00AC7CA4" w:rsidRDefault="00F76E17">
      <w:pPr>
        <w:pStyle w:val="ConsPlusNormal"/>
        <w:ind w:firstLine="709"/>
        <w:jc w:val="both"/>
        <w:rPr>
          <w:color w:val="1C1C1C"/>
          <w:sz w:val="26"/>
          <w:szCs w:val="26"/>
        </w:rPr>
      </w:pPr>
      <w:r>
        <w:rPr>
          <w:color w:val="1C1C1C"/>
          <w:sz w:val="26"/>
          <w:szCs w:val="26"/>
        </w:rPr>
        <w:t>Рассмотрение письменных обращений контролируемых лиц и их представителей.</w:t>
      </w:r>
    </w:p>
    <w:p w14:paraId="24952083" w14:textId="77777777" w:rsidR="00AC7CA4" w:rsidRDefault="00F76E17">
      <w:pPr>
        <w:pStyle w:val="ConsPlusNormal"/>
        <w:ind w:firstLine="709"/>
        <w:jc w:val="both"/>
        <w:rPr>
          <w:color w:val="1C1C1C"/>
          <w:sz w:val="26"/>
          <w:szCs w:val="26"/>
        </w:rPr>
      </w:pPr>
      <w:r>
        <w:rPr>
          <w:color w:val="1C1C1C"/>
          <w:sz w:val="26"/>
          <w:szCs w:val="26"/>
        </w:rPr>
        <w:t>Консультирование осуществляется в устной и письменной форме специалистом отдела. В 2023 году устных и письменных обращений по вопросам жилищного контроля не поступало.</w:t>
      </w:r>
    </w:p>
    <w:p w14:paraId="080CF5E5" w14:textId="77777777" w:rsidR="00AC7CA4" w:rsidRDefault="00F76E17">
      <w:pPr>
        <w:pStyle w:val="Standard"/>
        <w:autoSpaceDE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Профилактический визит проводится </w:t>
      </w:r>
      <w:r>
        <w:rPr>
          <w:rFonts w:ascii="Times New Roman" w:eastAsia="Calibri" w:hAnsi="Times New Roman" w:cs="Times New Roman"/>
          <w:iCs/>
          <w:color w:val="000000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color w:val="000000"/>
          <w:sz w:val="26"/>
          <w:szCs w:val="26"/>
        </w:rPr>
        <w:t>в форме профилактической беседы по месту осуществления деятельности контролируемого лица.</w:t>
      </w:r>
    </w:p>
    <w:p w14:paraId="7441FD6C" w14:textId="77777777" w:rsidR="00AC7CA4" w:rsidRDefault="00F76E17">
      <w:pPr>
        <w:pStyle w:val="Textbody"/>
        <w:jc w:val="both"/>
        <w:rPr>
          <w:rFonts w:ascii="Times New Roman" w:hAnsi="Times New Roman"/>
          <w:b/>
          <w:color w:val="1C1C1C"/>
          <w:sz w:val="26"/>
          <w:szCs w:val="26"/>
        </w:rPr>
      </w:pPr>
      <w:r>
        <w:rPr>
          <w:rFonts w:ascii="Times New Roman" w:hAnsi="Times New Roman"/>
          <w:b/>
          <w:color w:val="1C1C1C"/>
          <w:sz w:val="26"/>
          <w:szCs w:val="26"/>
        </w:rPr>
        <w:br/>
      </w:r>
      <w:r>
        <w:rPr>
          <w:rFonts w:ascii="Times New Roman" w:hAnsi="Times New Roman"/>
          <w:b/>
          <w:color w:val="1C1C1C"/>
          <w:sz w:val="26"/>
          <w:szCs w:val="26"/>
        </w:rPr>
        <w:t xml:space="preserve">4. </w:t>
      </w:r>
      <w:r>
        <w:rPr>
          <w:rFonts w:ascii="Times New Roman" w:hAnsi="Times New Roman" w:cs="Times New Roman"/>
          <w:b/>
          <w:color w:val="1C1C1C"/>
          <w:sz w:val="26"/>
          <w:szCs w:val="26"/>
        </w:rPr>
        <w:t>Контрольные мероприятия, проводимые в рамках муниципального контроля</w:t>
      </w:r>
    </w:p>
    <w:p w14:paraId="22A41105" w14:textId="77777777" w:rsidR="00AC7CA4" w:rsidRDefault="00F76E17">
      <w:pPr>
        <w:pStyle w:val="PreformattedTex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Согласно части 2 статьи 61 Федерального закона от 31.07.2020 № 248-ФЗ «О государственном контроле </w:t>
      </w:r>
      <w:r>
        <w:rPr>
          <w:rFonts w:ascii="Times New Roman" w:hAnsi="Times New Roman"/>
          <w:sz w:val="26"/>
          <w:szCs w:val="26"/>
        </w:rPr>
        <w:t>(надзоре) и муниципальном контроле в Российской Федерации», в случае, если положением о виде муниципального контроля предусмотрено, что система оценки и управления рисками при осуществлении данного вида муниципального контроля не применяется, плановые контрольные (надзорные) мероприятия не проводятся.</w:t>
      </w:r>
    </w:p>
    <w:p w14:paraId="0B2DBF2B" w14:textId="77777777" w:rsidR="00AC7CA4" w:rsidRDefault="00F76E17">
      <w:pPr>
        <w:pStyle w:val="PreformattedTex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связи с этим, при осуществлении муниципального жилищного контроля  система оценки и управления рисками причинения вреда (ущерба) охраняемым законом ценностям не применяется, плановые контрольные мероприятия не проводятся.</w:t>
      </w:r>
    </w:p>
    <w:p w14:paraId="750B79A2" w14:textId="77777777" w:rsidR="00AC7CA4" w:rsidRDefault="00F76E17">
      <w:pPr>
        <w:pStyle w:val="PreformattedTex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При этом согласно части 3 статьи 66 Федерального закона от 31.07.2020 № 248-ФЗ «О государственном контроле (надзоре) и муниципальном контроле в Российской Федерации» в случае, если положением о виде муниципального контроля предусмотрено, что система оценки и управления рисками при осуществлении данного вида муниципального контроля не применяется, все внеплановые контрольные мероприятия могут проводиться только после согласования с органами прокуратуры.</w:t>
      </w:r>
    </w:p>
    <w:p w14:paraId="544631B6" w14:textId="77777777" w:rsidR="00AC7CA4" w:rsidRDefault="00F76E17">
      <w:pPr>
        <w:pStyle w:val="PreformattedTex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В 2022 году постановлением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 (далее – Постановление № 336) введены ограничения на проведение внеплановых контрольных мероприятий.</w:t>
      </w:r>
    </w:p>
    <w:p w14:paraId="23EE08AF" w14:textId="77777777" w:rsidR="00AC7CA4" w:rsidRDefault="00F76E17">
      <w:pPr>
        <w:pStyle w:val="PreformattedText"/>
        <w:jc w:val="both"/>
        <w:rPr>
          <w:rFonts w:hint="eastAsia"/>
        </w:rPr>
      </w:pPr>
      <w:r>
        <w:rPr>
          <w:rFonts w:ascii="Times New Roman" w:hAnsi="Times New Roman"/>
          <w:color w:val="1C1C1C"/>
          <w:sz w:val="26"/>
          <w:szCs w:val="26"/>
        </w:rPr>
        <w:tab/>
        <w:t>Постановлением № 336 установлено, что в 2023 году в рамках видов муниципального контроля, порядок организации и осуществления которых регулируются Федеральным </w:t>
      </w:r>
      <w:hyperlink r:id="rId10" w:history="1">
        <w:r>
          <w:rPr>
            <w:rFonts w:ascii="Times New Roman" w:hAnsi="Times New Roman"/>
            <w:color w:val="16683F"/>
            <w:sz w:val="26"/>
            <w:szCs w:val="26"/>
          </w:rPr>
          <w:t>законом</w:t>
        </w:r>
      </w:hyperlink>
      <w:r>
        <w:rPr>
          <w:rFonts w:ascii="Times New Roman" w:hAnsi="Times New Roman"/>
          <w:color w:val="1C1C1C"/>
          <w:sz w:val="26"/>
          <w:szCs w:val="26"/>
        </w:rPr>
        <w:t> «О государственном контроле (надзоре) и муниципальном контроле в Российской Федерации» внеплановые контрольные мероприятия проводятся исключительно по установленным Постановлением № 336 основаниям, одним из которых, при условии согласования с органами прокуратуры, является непосредственная угроза причинения вреда жизни и тяжкого вреда здоровью граждан, факты причинения вреда жизни и тяжкого вреда здоровью граждан.</w:t>
      </w:r>
    </w:p>
    <w:p w14:paraId="7DCFD4D2" w14:textId="77777777" w:rsidR="00AC7CA4" w:rsidRDefault="00F76E17">
      <w:pPr>
        <w:pStyle w:val="PreformattedTex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1C1C1C"/>
          <w:sz w:val="26"/>
          <w:szCs w:val="26"/>
        </w:rPr>
        <w:tab/>
        <w:t>По согласованию с органами прокуратуры  внеплановые выездных проверки не проводились.</w:t>
      </w:r>
    </w:p>
    <w:p w14:paraId="292485C9" w14:textId="77777777" w:rsidR="00AC7CA4" w:rsidRDefault="00F76E17">
      <w:pPr>
        <w:pStyle w:val="PreformattedTex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Предложения, связанные с организацией и осуществлением муниципального жилищного контроля, отсутствуют.</w:t>
      </w:r>
    </w:p>
    <w:sectPr w:rsidR="00AC7CA4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B8704" w14:textId="77777777" w:rsidR="00F76E17" w:rsidRDefault="00F76E17">
      <w:pPr>
        <w:rPr>
          <w:rFonts w:hint="eastAsia"/>
        </w:rPr>
      </w:pPr>
      <w:r>
        <w:separator/>
      </w:r>
    </w:p>
  </w:endnote>
  <w:endnote w:type="continuationSeparator" w:id="0">
    <w:p w14:paraId="49B0E155" w14:textId="77777777" w:rsidR="00F76E17" w:rsidRDefault="00F76E17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Mono">
    <w:altName w:val="Calibri"/>
    <w:charset w:val="00"/>
    <w:family w:val="modern"/>
    <w:pitch w:val="fixed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837C1E" w14:textId="77777777" w:rsidR="00F76E17" w:rsidRDefault="00F76E17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3D2F0544" w14:textId="77777777" w:rsidR="00F76E17" w:rsidRDefault="00F76E17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C7CA4"/>
    <w:rsid w:val="00AC7CA4"/>
    <w:rsid w:val="00F7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BDD6C"/>
  <w15:docId w15:val="{02952CE1-26C8-4E4B-A2E3-BB09F2D5D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widowControl w:val="0"/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rmal">
    <w:name w:val="ConsPlusNormal"/>
    <w:pPr>
      <w:widowControl w:val="0"/>
      <w:ind w:firstLine="720"/>
    </w:pPr>
    <w:rPr>
      <w:rFonts w:ascii="Times New Roman" w:eastAsia="Times New Roman" w:hAnsi="Times New Roman" w:cs="Times New Roman"/>
      <w:szCs w:val="22"/>
      <w:lang w:bidi="ar-SA"/>
    </w:rPr>
  </w:style>
  <w:style w:type="paragraph" w:styleId="HTML">
    <w:name w:val="HTML Preformatted"/>
    <w:basedOn w:val="Standard"/>
    <w:rPr>
      <w:rFonts w:ascii="Courier New" w:eastAsia="Courier New" w:hAnsi="Courier New" w:cs="Courier New"/>
      <w:color w:val="000000"/>
    </w:rPr>
  </w:style>
  <w:style w:type="paragraph" w:styleId="a5">
    <w:name w:val="List Paragraph"/>
    <w:basedOn w:val="Standard"/>
    <w:pPr>
      <w:ind w:left="720"/>
    </w:pPr>
    <w:rPr>
      <w:color w:val="000000"/>
    </w:rPr>
  </w:style>
  <w:style w:type="paragraph" w:customStyle="1" w:styleId="ConsPlusTitle">
    <w:name w:val="ConsPlusTitle"/>
    <w:pPr>
      <w:widowControl w:val="0"/>
    </w:pPr>
    <w:rPr>
      <w:rFonts w:ascii="Times New Roman" w:eastAsia="Times New Roman" w:hAnsi="Times New Roman" w:cs="Times New Roman"/>
      <w:b/>
      <w:szCs w:val="22"/>
      <w:lang w:bidi="ar-SA"/>
    </w:rPr>
  </w:style>
  <w:style w:type="paragraph" w:customStyle="1" w:styleId="PreformattedText">
    <w:name w:val="Preformatted Text"/>
    <w:basedOn w:val="Standard"/>
    <w:rPr>
      <w:rFonts w:ascii="Liberation Mono" w:hAnsi="Liberation Mono" w:cs="Liberation Mono"/>
      <w:sz w:val="20"/>
      <w:szCs w:val="20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57C5D6C6D4593A7282F07C8BB786220ECAE77B11DE26B651510B8DFFD3BF67ABB1563B00D4632E1F7F4002942572CF1AC02B8204EFE48D2x0w7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7C5D6C6D4593A7282F07C8BB786220ECAC7AB410E16B651510B8DFFD3BF67ABB1563B00D4632E2FDF4002942572CF1AC02B8204EFE48D2x0w7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5B209A871E3DDD4BD1FC0CFBAD90E246EAA1C76C79BEFDC5B5395EF61026261923A9A83010E677DSCP8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15B96BC77F7E2B5BF69D0BAA7B9FC0A17BC7A56821714360380E0374BA00B3DC02A4BEFDBAA4D8D196CD988DE88345B53A972AC44179F35ZEW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57C5D6C6D4593A7282F07C8BB786220ECA376B71CE76B651510B8DFFD3BF67ABB1563B3094039B7AEBB0175070A3FF0A502BA2152xFw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1526</Words>
  <Characters>8703</Characters>
  <Application>Microsoft Office Word</Application>
  <DocSecurity>0</DocSecurity>
  <Lines>72</Lines>
  <Paragraphs>20</Paragraphs>
  <ScaleCrop>false</ScaleCrop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Sandovo MO</dc:creator>
  <cp:lastModifiedBy>Sandovo MO</cp:lastModifiedBy>
  <cp:revision>2</cp:revision>
  <dcterms:created xsi:type="dcterms:W3CDTF">2024-04-23T07:52:00Z</dcterms:created>
  <dcterms:modified xsi:type="dcterms:W3CDTF">2024-04-23T07:52:00Z</dcterms:modified>
</cp:coreProperties>
</file>