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Сведения</w:t>
      </w:r>
      <w:r>
        <w:rPr>
          <w:rFonts w:ascii="Times New Roman" w:hAnsi="Times New Roman"/>
          <w:b w:val="1"/>
          <w:sz w:val="24"/>
        </w:rPr>
        <w:t> о доходах, об имуществе и обязательствах имущественного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          характера </w:t>
      </w:r>
      <w:r>
        <w:rPr>
          <w:rFonts w:ascii="Times New Roman" w:hAnsi="Times New Roman"/>
          <w:b w:val="1"/>
          <w:sz w:val="24"/>
        </w:rPr>
        <w:t>руководителя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муници</w:t>
      </w:r>
      <w:r>
        <w:rPr>
          <w:rFonts w:ascii="Times New Roman" w:hAnsi="Times New Roman"/>
          <w:b w:val="1"/>
          <w:sz w:val="24"/>
        </w:rPr>
        <w:t>пального казенного учреждения «ЕДДС Сандовского района», его</w:t>
      </w:r>
      <w:r>
        <w:rPr>
          <w:rFonts w:ascii="Times New Roman" w:hAnsi="Times New Roman"/>
          <w:b w:val="1"/>
          <w:sz w:val="24"/>
        </w:rPr>
        <w:t xml:space="preserve"> супруги  (супруга)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 не</w:t>
      </w:r>
      <w:r>
        <w:rPr>
          <w:rFonts w:ascii="Times New Roman" w:hAnsi="Times New Roman"/>
          <w:b w:val="1"/>
          <w:sz w:val="24"/>
        </w:rPr>
        <w:t>совершеннолетних</w:t>
      </w:r>
      <w:r>
        <w:rPr>
          <w:rFonts w:ascii="Times New Roman" w:hAnsi="Times New Roman"/>
          <w:b w:val="1"/>
          <w:sz w:val="24"/>
        </w:rPr>
        <w:t xml:space="preserve"> детей за период с 01.01.2019 </w:t>
      </w:r>
      <w:r>
        <w:rPr>
          <w:rFonts w:ascii="Times New Roman" w:hAnsi="Times New Roman"/>
          <w:b w:val="1"/>
          <w:sz w:val="24"/>
        </w:rPr>
        <w:t xml:space="preserve">года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 31.12.201</w:t>
      </w:r>
      <w:r>
        <w:rPr>
          <w:rFonts w:ascii="Times New Roman" w:hAnsi="Times New Roman"/>
          <w:b w:val="1"/>
          <w:sz w:val="24"/>
        </w:rPr>
        <w:t xml:space="preserve">9 </w:t>
      </w:r>
      <w:r>
        <w:rPr>
          <w:rFonts w:ascii="Times New Roman" w:hAnsi="Times New Roman"/>
          <w:b w:val="1"/>
          <w:sz w:val="24"/>
        </w:rPr>
        <w:t>года</w:t>
      </w:r>
      <w:r>
        <w:rPr>
          <w:rFonts w:ascii="Times New Roman" w:hAnsi="Times New Roman"/>
          <w:b w:val="1"/>
          <w:sz w:val="24"/>
        </w:rPr>
        <w:t xml:space="preserve"> 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552"/>
        <w:gridCol w:w="1701"/>
        <w:gridCol w:w="1984"/>
        <w:gridCol w:w="1418"/>
        <w:gridCol w:w="1701"/>
        <w:gridCol w:w="1701"/>
        <w:gridCol w:w="1842"/>
        <w:gridCol w:w="1276"/>
        <w:gridCol w:w="1276"/>
      </w:tblGrid>
      <w:tr>
        <w:tc>
          <w:tcPr>
            <w:tcW w:type="dxa" w:w="2552"/>
            <w:vMerge w:val="restart"/>
          </w:tcPr>
          <w:p w14:paraId="0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14:paraId="0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type="dxa" w:w="1701"/>
            <w:vMerge w:val="restart"/>
          </w:tcPr>
          <w:p w14:paraId="0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Декларирован-ный  годовой доход (руб.)</w:t>
            </w:r>
          </w:p>
        </w:tc>
        <w:tc>
          <w:tcPr>
            <w:tcW w:type="dxa" w:w="6804"/>
            <w:gridSpan w:val="4"/>
          </w:tcPr>
          <w:p w14:paraId="0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14:paraId="0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gridSpan w:val="3"/>
          </w:tcPr>
          <w:p w14:paraId="0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>
        <w:trPr>
          <w:trHeight w:hRule="atLeast" w:val="222"/>
        </w:trPr>
        <w:tc>
          <w:tcPr>
            <w:tcW w:type="dxa" w:w="2552"/>
            <w:gridSpan w:val="1"/>
            <w:vMerge w:val="continue"/>
          </w:tcPr>
          <w:p/>
        </w:tc>
        <w:tc>
          <w:tcPr>
            <w:tcW w:type="dxa" w:w="1701"/>
            <w:gridSpan w:val="1"/>
            <w:vMerge w:val="continue"/>
          </w:tcPr>
          <w:p/>
        </w:tc>
        <w:tc>
          <w:tcPr>
            <w:tcW w:type="dxa" w:w="5103"/>
            <w:gridSpan w:val="3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Объекты недвижимого имущества</w:t>
            </w:r>
          </w:p>
        </w:tc>
        <w:tc>
          <w:tcPr>
            <w:tcW w:type="dxa" w:w="1701"/>
            <w:vMerge w:val="restart"/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Транспортные средства</w:t>
            </w:r>
          </w:p>
        </w:tc>
        <w:tc>
          <w:tcPr>
            <w:tcW w:type="dxa" w:w="1842"/>
            <w:vMerge w:val="restart"/>
          </w:tcPr>
          <w:p w14:paraId="0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</w:t>
            </w:r>
          </w:p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type="dxa" w:w="1276"/>
            <w:vMerge w:val="restart"/>
          </w:tcPr>
          <w:p w14:paraId="0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(кв.м.)</w:t>
            </w:r>
          </w:p>
        </w:tc>
        <w:tc>
          <w:tcPr>
            <w:tcW w:type="dxa" w:w="1276"/>
            <w:vMerge w:val="restart"/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распо-ложения</w:t>
            </w:r>
          </w:p>
        </w:tc>
      </w:tr>
      <w:tr>
        <w:trPr>
          <w:trHeight w:hRule="atLeast" w:val="619"/>
        </w:trPr>
        <w:tc>
          <w:tcPr>
            <w:tcW w:type="dxa" w:w="2552"/>
            <w:gridSpan w:val="1"/>
            <w:vMerge w:val="continue"/>
          </w:tcPr>
          <w:p/>
        </w:tc>
        <w:tc>
          <w:tcPr>
            <w:tcW w:type="dxa" w:w="1701"/>
            <w:gridSpan w:val="1"/>
            <w:vMerge w:val="continue"/>
          </w:tcPr>
          <w:p/>
        </w:tc>
        <w:tc>
          <w:tcPr>
            <w:tcW w:type="dxa" w:w="1984"/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</w:t>
            </w:r>
          </w:p>
          <w:p w14:paraId="1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type="dxa" w:w="1418"/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</w:t>
            </w:r>
            <w:r>
              <w:rPr>
                <w:rFonts w:ascii="Times New Roman" w:hAnsi="Times New Roman"/>
                <w:sz w:val="24"/>
              </w:rPr>
              <w:t>щадь (кв.м.)</w:t>
            </w:r>
          </w:p>
        </w:tc>
        <w:tc>
          <w:tcPr>
            <w:tcW w:type="dxa" w:w="1701"/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type="dxa" w:w="1701"/>
            <w:gridSpan w:val="1"/>
            <w:vMerge w:val="continue"/>
          </w:tcPr>
          <w:p/>
        </w:tc>
        <w:tc>
          <w:tcPr>
            <w:tcW w:type="dxa" w:w="1842"/>
            <w:gridSpan w:val="1"/>
            <w:vMerge w:val="continue"/>
          </w:tcPr>
          <w:p/>
        </w:tc>
        <w:tc>
          <w:tcPr>
            <w:tcW w:type="dxa" w:w="1276"/>
            <w:gridSpan w:val="1"/>
            <w:vMerge w:val="continue"/>
          </w:tcPr>
          <w:p/>
        </w:tc>
        <w:tc>
          <w:tcPr>
            <w:tcW w:type="dxa" w:w="1276"/>
            <w:gridSpan w:val="1"/>
            <w:vMerge w:val="continue"/>
          </w:tcPr>
          <w:p/>
        </w:tc>
      </w:tr>
      <w:tr>
        <w:trPr>
          <w:trHeight w:hRule="atLeast" w:val="2040"/>
        </w:trPr>
        <w:tc>
          <w:tcPr>
            <w:tcW w:type="dxa" w:w="2552"/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Соловьев Алексей Сергеевич, директор МКУ «ЕДДС Сандовского района»</w:t>
            </w:r>
          </w:p>
        </w:tc>
        <w:tc>
          <w:tcPr>
            <w:tcW w:type="dxa" w:w="1701"/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739 953,34</w:t>
            </w:r>
          </w:p>
        </w:tc>
        <w:tc>
          <w:tcPr>
            <w:tcW w:type="dxa" w:w="1984"/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8"/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1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14:paraId="1D000000">
            <w:pPr>
              <w:widowControl w:val="0"/>
              <w:spacing w:after="0" w:before="0" w:line="274" w:lineRule="exact"/>
              <w:ind w:firstLine="0" w:left="0" w:right="0"/>
              <w:jc w:val="center"/>
              <w:rPr>
                <w:rFonts w:ascii="Calibri" w:hAnsi="Calibri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Легковые автомобили</w:t>
            </w:r>
          </w:p>
          <w:p w14:paraId="1E000000">
            <w:pPr>
              <w:widowControl w:val="0"/>
              <w:spacing w:after="0" w:before="0" w:line="274" w:lineRule="exact"/>
              <w:ind w:firstLine="0" w:left="0" w:right="0"/>
              <w:jc w:val="center"/>
              <w:rPr>
                <w:rFonts w:ascii="Calibri" w:hAnsi="Calibri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 xml:space="preserve">МИЦУБИСИ Galant </w:t>
            </w:r>
          </w:p>
          <w:p w14:paraId="1F000000">
            <w:pPr>
              <w:widowControl w:val="0"/>
              <w:spacing w:after="0" w:before="0" w:line="274" w:lineRule="exact"/>
              <w:ind w:firstLine="0" w:left="0" w:right="0"/>
              <w:jc w:val="center"/>
              <w:rPr>
                <w:rFonts w:ascii="Calibri" w:hAnsi="Calibri"/>
                <w:b w:val="0"/>
                <w:color w:val="000000"/>
                <w:spacing w:val="0"/>
                <w:sz w:val="20"/>
              </w:rPr>
            </w:pPr>
          </w:p>
          <w:p w14:paraId="20000000">
            <w:pPr>
              <w:widowControl w:val="0"/>
              <w:spacing w:after="0" w:before="0" w:line="274" w:lineRule="exact"/>
              <w:ind w:firstLine="0" w:left="0" w:right="0"/>
              <w:jc w:val="center"/>
              <w:rPr>
                <w:rFonts w:ascii="Calibri" w:hAnsi="Calibri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 xml:space="preserve">ФОЛЬКСВАГЕН </w:t>
            </w:r>
          </w:p>
          <w:p w14:paraId="21000000">
            <w:pPr>
              <w:widowControl w:val="0"/>
              <w:spacing w:after="0" w:before="0" w:line="274" w:lineRule="exact"/>
              <w:ind w:firstLine="0" w:left="0" w:right="0"/>
              <w:jc w:val="center"/>
              <w:rPr>
                <w:rFonts w:ascii="Calibri" w:hAnsi="Calibri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POLO</w:t>
            </w:r>
          </w:p>
          <w:p w14:paraId="22000000">
            <w:pPr>
              <w:widowControl w:val="0"/>
              <w:spacing w:after="0" w:before="0" w:line="274" w:lineRule="exact"/>
              <w:ind w:firstLine="0" w:left="0" w:right="0"/>
              <w:jc w:val="center"/>
              <w:rPr>
                <w:rFonts w:ascii="Calibri" w:hAnsi="Calibri"/>
                <w:b w:val="0"/>
                <w:color w:val="000000"/>
                <w:spacing w:val="0"/>
                <w:sz w:val="20"/>
              </w:rPr>
            </w:pPr>
          </w:p>
          <w:p w14:paraId="23000000">
            <w:pPr>
              <w:widowControl w:val="0"/>
              <w:spacing w:after="0" w:before="0" w:line="274" w:lineRule="exact"/>
              <w:ind w:firstLine="0" w:left="0" w:right="0"/>
              <w:jc w:val="center"/>
              <w:rPr>
                <w:rFonts w:ascii="Calibri" w:hAnsi="Calibri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Автоприцеп-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817600</w:t>
            </w:r>
          </w:p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</w:tcPr>
          <w:p w14:paraId="2500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Calibri" w:hAnsi="Calibri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Жилой дом</w:t>
            </w:r>
          </w:p>
          <w:p w14:paraId="2600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Calibri" w:hAnsi="Calibri"/>
                <w:b w:val="0"/>
                <w:color w:val="000000"/>
                <w:spacing w:val="0"/>
                <w:sz w:val="20"/>
              </w:rPr>
            </w:pPr>
          </w:p>
          <w:p w14:paraId="27000000">
            <w:pPr>
              <w:widowControl w:val="0"/>
              <w:spacing w:after="0" w:before="0" w:line="220" w:lineRule="exact"/>
              <w:ind w:firstLine="0" w:left="0" w:right="0"/>
              <w:jc w:val="center"/>
              <w:rPr>
                <w:rFonts w:ascii="Calibri" w:hAnsi="Calibri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2"/>
                <w:u w:val="none"/>
              </w:rPr>
              <w:t>Земельный участок</w:t>
            </w:r>
          </w:p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1276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90,4</w:t>
            </w:r>
          </w:p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1631,0</w:t>
            </w:r>
          </w:p>
        </w:tc>
        <w:tc>
          <w:tcPr>
            <w:tcW w:type="dxa" w:w="1276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Россия</w:t>
            </w:r>
          </w:p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552"/>
          </w:tcPr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701"/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164 173,35</w:t>
            </w:r>
          </w:p>
        </w:tc>
        <w:tc>
          <w:tcPr>
            <w:tcW w:type="dxa" w:w="1984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общая долевая (½ )</w:t>
            </w:r>
          </w:p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дом,</w:t>
            </w:r>
          </w:p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общая долевая (½ )</w:t>
            </w:r>
          </w:p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631,0</w:t>
            </w:r>
          </w:p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90,4</w:t>
            </w:r>
          </w:p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34,1</w:t>
            </w:r>
          </w:p>
        </w:tc>
        <w:tc>
          <w:tcPr>
            <w:tcW w:type="dxa" w:w="1701"/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2"/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56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57000000">
      <w:pPr>
        <w:pStyle w:val="Style_2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 </w:t>
      </w:r>
    </w:p>
    <w:p w14:paraId="58000000">
      <w:pPr>
        <w:pStyle w:val="Style_2"/>
        <w:ind/>
        <w:jc w:val="right"/>
        <w:rPr>
          <w:rFonts w:ascii="Times New Roman" w:hAnsi="Times New Roman"/>
          <w:sz w:val="28"/>
        </w:rPr>
      </w:pPr>
    </w:p>
    <w:sectPr>
      <w:pgSz w:h="11906" w:w="16838"/>
      <w:pgMar w:bottom="284" w:footer="709" w:gutter="0" w:header="709" w:left="720" w:right="720" w:top="51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formattext"/>
    <w:basedOn w:val="Style_3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formattext"/>
    <w:basedOn w:val="Style_3_ch"/>
    <w:link w:val="Style_10"/>
    <w:rPr>
      <w:rFonts w:ascii="Times New Roman" w:hAnsi="Times New Roman"/>
      <w:sz w:val="24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unformattext"/>
    <w:basedOn w:val="Style_3"/>
    <w:link w:val="Style_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_ch" w:type="character">
    <w:name w:val="unformattext"/>
    <w:basedOn w:val="Style_3_ch"/>
    <w:link w:val="Style_18"/>
    <w:rPr>
      <w:rFonts w:ascii="Times New Roman" w:hAnsi="Times New Roman"/>
      <w:sz w:val="24"/>
    </w:rPr>
  </w:style>
  <w:style w:styleId="Style_19" w:type="paragraph">
    <w:name w:val="toc 9"/>
    <w:next w:val="Style_3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Balloon Text"/>
    <w:basedOn w:val="Style_3"/>
    <w:link w:val="Style_20_ch"/>
    <w:pPr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3_ch"/>
    <w:link w:val="Style_20"/>
    <w:rPr>
      <w:rFonts w:ascii="Tahoma" w:hAnsi="Tahoma"/>
      <w:sz w:val="16"/>
    </w:rPr>
  </w:style>
  <w:style w:styleId="Style_21" w:type="paragraph">
    <w:name w:val="toc 8"/>
    <w:next w:val="Style_3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3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3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3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3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Без интервала1"/>
    <w:link w:val="Style_27_ch"/>
    <w:pPr>
      <w:widowControl w:val="0"/>
      <w:ind/>
    </w:pPr>
    <w:rPr>
      <w:rFonts w:ascii="Arial" w:hAnsi="Arial"/>
    </w:rPr>
  </w:style>
  <w:style w:styleId="Style_27_ch" w:type="character">
    <w:name w:val="Без интервала1"/>
    <w:link w:val="Style_27"/>
    <w:rPr>
      <w:rFonts w:ascii="Arial" w:hAnsi="Arial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