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709" w:val="clear"/>
          <w:tab w:leader="none" w:pos="1440" w:val="left"/>
          <w:tab w:leader="none" w:pos="5168" w:val="center"/>
        </w:tabs>
        <w:ind/>
        <w:jc w:val="center"/>
      </w:pPr>
      <w:r>
        <w:drawing>
          <wp:inline>
            <wp:extent cx="438150" cy="60007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879" l="-879" r="-879" t="-879"/>
                    <a:stretch/>
                  </pic:blipFill>
                  <pic:spPr>
                    <a:xfrm flipH="false" flipV="false" rot="0">
                      <a:ext cx="438150" cy="600075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</w:t>
      </w:r>
    </w:p>
    <w:p w14:paraId="02000000">
      <w:pPr>
        <w:pStyle w:val="Style_1"/>
        <w:tabs>
          <w:tab w:leader="none" w:pos="709" w:val="clear"/>
          <w:tab w:leader="none" w:pos="1440" w:val="left"/>
          <w:tab w:leader="none" w:pos="5168" w:val="center"/>
        </w:tabs>
        <w:ind/>
        <w:jc w:val="right"/>
        <w:rPr>
          <w:rFonts w:ascii="Times New Roman" w:hAnsi="Times New Roman"/>
        </w:rPr>
      </w:pPr>
    </w:p>
    <w:p w14:paraId="03000000">
      <w:pPr>
        <w:pStyle w:val="Style_1"/>
        <w:tabs>
          <w:tab w:leader="none" w:pos="709" w:val="clear"/>
          <w:tab w:leader="none" w:pos="1440" w:val="left"/>
          <w:tab w:leader="none" w:pos="5168" w:val="center"/>
        </w:tabs>
        <w:ind/>
        <w:jc w:val="right"/>
        <w:rPr>
          <w:rFonts w:ascii="Times New Roman" w:hAnsi="Times New Roman"/>
        </w:rPr>
      </w:pPr>
    </w:p>
    <w:p w14:paraId="04000000">
      <w:pPr>
        <w:pStyle w:val="Style_1"/>
        <w:ind/>
        <w:jc w:val="center"/>
      </w:pPr>
      <w:r>
        <w:rPr>
          <w:rFonts w:ascii="Times New Roman" w:hAnsi="Times New Roman"/>
          <w:b w:val="1"/>
          <w:sz w:val="36"/>
        </w:rPr>
        <w:t>АДМИНИСТРАЦИЯ</w:t>
      </w:r>
    </w:p>
    <w:p w14:paraId="05000000">
      <w:pPr>
        <w:pStyle w:val="Style_1"/>
        <w:ind/>
        <w:jc w:val="center"/>
      </w:pPr>
      <w:r>
        <w:rPr>
          <w:rFonts w:ascii="Times New Roman" w:hAnsi="Times New Roman"/>
          <w:b w:val="1"/>
          <w:sz w:val="36"/>
        </w:rPr>
        <w:t xml:space="preserve">САНДОВСКОГО  </w:t>
      </w:r>
      <w:r>
        <w:rPr>
          <w:rFonts w:ascii="Times New Roman" w:hAnsi="Times New Roman"/>
          <w:b w:val="1"/>
          <w:sz w:val="36"/>
        </w:rPr>
        <w:t xml:space="preserve">МУНИЦИПАЛЬНОГО </w:t>
      </w:r>
      <w:r>
        <w:rPr>
          <w:rFonts w:ascii="Times New Roman" w:hAnsi="Times New Roman"/>
          <w:b w:val="1"/>
          <w:sz w:val="36"/>
        </w:rPr>
        <w:t>ОКРУГА</w:t>
      </w:r>
    </w:p>
    <w:p w14:paraId="06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Тверская область</w:t>
      </w:r>
    </w:p>
    <w:p w14:paraId="07000000">
      <w:pPr>
        <w:pStyle w:val="Style_1"/>
        <w:ind/>
        <w:jc w:val="center"/>
      </w:pPr>
      <w:r>
        <w:rPr>
          <w:rFonts w:ascii="Times New Roman" w:hAnsi="Times New Roman"/>
          <w:b w:val="1"/>
          <w:sz w:val="36"/>
        </w:rPr>
        <w:t>П О С Т А Н О В Л Е Н И Е</w:t>
      </w:r>
    </w:p>
    <w:p w14:paraId="08000000">
      <w:pPr>
        <w:pStyle w:val="Style_1"/>
      </w:pPr>
      <w:r>
        <w:rPr>
          <w:rFonts w:ascii="Times New Roman" w:hAnsi="Times New Roman"/>
          <w:sz w:val="28"/>
        </w:rPr>
        <w:t xml:space="preserve">12.02.2021                                        п.  Сандово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№ 59 </w:t>
      </w:r>
    </w:p>
    <w:p w14:paraId="09000000">
      <w:pPr>
        <w:pStyle w:val="Style_1"/>
        <w:rPr>
          <w:rFonts w:ascii="Times New Roman" w:hAnsi="Times New Roman"/>
          <w:sz w:val="28"/>
          <w:u w:val="single"/>
        </w:rPr>
      </w:pPr>
    </w:p>
    <w:p w14:paraId="0A000000">
      <w:pPr>
        <w:pStyle w:val="Style_1"/>
      </w:pPr>
      <w:r>
        <w:rPr>
          <w:rFonts w:ascii="Times New Roman" w:hAnsi="Times New Roman"/>
          <w:sz w:val="28"/>
        </w:rPr>
        <w:t xml:space="preserve">О внесении изменений в муниципальную </w:t>
      </w:r>
    </w:p>
    <w:p w14:paraId="0B000000">
      <w:pPr>
        <w:pStyle w:val="Style_1"/>
      </w:pPr>
      <w:r>
        <w:rPr>
          <w:rFonts w:ascii="Times New Roman" w:hAnsi="Times New Roman"/>
          <w:sz w:val="28"/>
        </w:rPr>
        <w:t xml:space="preserve">программу «Развитие молодёжной </w:t>
      </w:r>
    </w:p>
    <w:p w14:paraId="0C000000">
      <w:pPr>
        <w:pStyle w:val="Style_1"/>
      </w:pPr>
      <w:r>
        <w:rPr>
          <w:rFonts w:ascii="Times New Roman" w:hAnsi="Times New Roman"/>
          <w:sz w:val="28"/>
        </w:rPr>
        <w:t xml:space="preserve">политики Сандовского муниципального </w:t>
      </w:r>
    </w:p>
    <w:p w14:paraId="0D000000">
      <w:pPr>
        <w:pStyle w:val="Style_1"/>
      </w:pPr>
      <w:r>
        <w:rPr>
          <w:rFonts w:ascii="Times New Roman" w:hAnsi="Times New Roman"/>
          <w:sz w:val="28"/>
        </w:rPr>
        <w:t xml:space="preserve">округа Тверской области» на 2021-2026 годы </w:t>
      </w:r>
    </w:p>
    <w:p w14:paraId="0E000000">
      <w:pPr>
        <w:pStyle w:val="Style_1"/>
        <w:rPr>
          <w:rFonts w:ascii="Times New Roman" w:hAnsi="Times New Roman"/>
          <w:sz w:val="28"/>
        </w:rPr>
      </w:pPr>
    </w:p>
    <w:p w14:paraId="0F000000">
      <w:pPr>
        <w:pStyle w:val="Style_1"/>
        <w:rPr>
          <w:rFonts w:ascii="Times New Roman" w:hAnsi="Times New Roman"/>
          <w:sz w:val="28"/>
        </w:rPr>
      </w:pPr>
    </w:p>
    <w:p w14:paraId="10000000">
      <w:pPr>
        <w:pStyle w:val="Style_1"/>
        <w:ind/>
        <w:jc w:val="both"/>
      </w:pPr>
      <w:r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>В соответствии  с постановлением Администрации Сандовского района от 15.10.2013 г. № 341\1 «Об утверждении порядка разработки, реализации и оценки эффективности муниципальных программ Сандовского района Тверской области», Администрация Сандовского  муниципального округа</w:t>
      </w:r>
    </w:p>
    <w:p w14:paraId="11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ind/>
        <w:jc w:val="center"/>
      </w:pPr>
      <w:r>
        <w:rPr>
          <w:rFonts w:ascii="Times New Roman" w:hAnsi="Times New Roman"/>
          <w:sz w:val="28"/>
        </w:rPr>
        <w:t>ПОСТАНОВЛЯЕТ:</w:t>
      </w:r>
    </w:p>
    <w:p w14:paraId="13000000">
      <w:pPr>
        <w:pStyle w:val="Style_1"/>
        <w:rPr>
          <w:rFonts w:ascii="Times New Roman" w:hAnsi="Times New Roman"/>
          <w:sz w:val="28"/>
        </w:rPr>
      </w:pPr>
    </w:p>
    <w:p w14:paraId="14000000">
      <w:pPr>
        <w:pStyle w:val="Style_1"/>
        <w:tabs>
          <w:tab w:leader="none" w:pos="675" w:val="left"/>
          <w:tab w:leader="none" w:pos="709" w:val="clear"/>
        </w:tabs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1. Внести изменения в муниципальную программу Сандовского муниципального округа Тверской области  «Развитие молодёжной политики Сандовского муниципального округа Тверской области» на 2021-2026 годы.</w:t>
      </w:r>
    </w:p>
    <w:p w14:paraId="15000000">
      <w:pPr>
        <w:pStyle w:val="Style_1"/>
        <w:tabs>
          <w:tab w:leader="none" w:pos="675" w:val="left"/>
          <w:tab w:leader="none" w:pos="709" w:val="clear"/>
        </w:tabs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1.1 Глава 2 «Мероприятия программы» подпункт «Решение задачи 2» дополнить </w:t>
      </w:r>
      <w:r>
        <w:rPr>
          <w:rFonts w:ascii="Times New Roman" w:hAnsi="Times New Roman"/>
          <w:sz w:val="28"/>
        </w:rPr>
        <w:t>подпунктом г) следующего содержания:</w:t>
      </w:r>
    </w:p>
    <w:p w14:paraId="16000000">
      <w:pPr>
        <w:pStyle w:val="Style_1"/>
        <w:tabs>
          <w:tab w:leader="none" w:pos="675" w:val="left"/>
          <w:tab w:leader="none" w:pos="709" w:val="clear"/>
        </w:tabs>
        <w:spacing w:line="0" w:lineRule="atLeast"/>
        <w:ind w:firstLine="720"/>
        <w:jc w:val="both"/>
        <w:rPr>
          <w:sz w:val="28"/>
        </w:rPr>
      </w:pPr>
      <w:r>
        <w:rPr>
          <w:rFonts w:ascii="Times New Roman" w:hAnsi="Times New Roman"/>
          <w:sz w:val="28"/>
        </w:rPr>
        <w:t>г) административное мероприятие «Информирование молодёжи в части безопасного поведения, действий в чрезвычайных ситуациях».</w:t>
      </w:r>
    </w:p>
    <w:p w14:paraId="17000000">
      <w:pPr>
        <w:pStyle w:val="Style_1"/>
        <w:tabs>
          <w:tab w:leader="none" w:pos="675" w:val="left"/>
          <w:tab w:leader="none" w:pos="709" w:val="clear"/>
        </w:tabs>
        <w:spacing w:line="0" w:lineRule="atLeast"/>
        <w:ind w:firstLine="720"/>
        <w:jc w:val="both"/>
        <w:rPr>
          <w:sz w:val="28"/>
        </w:rPr>
      </w:pPr>
      <w:r>
        <w:rPr>
          <w:rFonts w:ascii="Times New Roman" w:hAnsi="Times New Roman"/>
          <w:sz w:val="28"/>
        </w:rPr>
        <w:t>2. Приложения 1 и 3 изложить в новой редакции (Прилагается).</w:t>
      </w:r>
    </w:p>
    <w:p w14:paraId="18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Настоящее  постановление  вступает  в силу  со дня  его  подписания и подлежит размещению на официальном сайте Сандовского  муниципального округа  в информационно-телекоммуникационной  сети  «Интернет».</w:t>
      </w:r>
    </w:p>
    <w:p w14:paraId="19000000">
      <w:pPr>
        <w:pStyle w:val="Style_1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 xml:space="preserve">      </w:t>
      </w:r>
    </w:p>
    <w:p w14:paraId="1A000000">
      <w:pPr>
        <w:pStyle w:val="Style_1"/>
        <w:rPr>
          <w:rFonts w:ascii="Times New Roman" w:hAnsi="Times New Roman"/>
          <w:sz w:val="28"/>
        </w:rPr>
      </w:pPr>
    </w:p>
    <w:p w14:paraId="1B000000">
      <w:pPr>
        <w:pStyle w:val="Style_1"/>
        <w:rPr>
          <w:rFonts w:ascii="Times New Roman" w:hAnsi="Times New Roman"/>
          <w:sz w:val="28"/>
        </w:rPr>
      </w:pPr>
    </w:p>
    <w:p w14:paraId="1C000000">
      <w:pPr>
        <w:pStyle w:val="Style_1"/>
        <w:rPr>
          <w:rFonts w:ascii="Times New Roman" w:hAnsi="Times New Roman"/>
          <w:sz w:val="28"/>
        </w:rPr>
      </w:pPr>
    </w:p>
    <w:p w14:paraId="1D000000">
      <w:pPr>
        <w:pStyle w:val="Style_2"/>
        <w:spacing w:after="0" w:before="0"/>
        <w:ind/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Глава  Сандовского </w:t>
      </w:r>
      <w:r>
        <w:rPr>
          <w:rFonts w:ascii="Times New Roman" w:hAnsi="Times New Roman"/>
          <w:sz w:val="28"/>
        </w:rPr>
        <w:t xml:space="preserve">муниципального округа                                 О.Н. Грязнов    </w:t>
      </w:r>
    </w:p>
    <w:p w14:paraId="1E000000">
      <w:pPr>
        <w:pStyle w:val="Style_2"/>
        <w:spacing w:after="0" w:before="0" w:line="0" w:lineRule="atLeast"/>
        <w:ind/>
        <w:jc w:val="right"/>
      </w:pPr>
    </w:p>
    <w:p w14:paraId="1F000000">
      <w:pPr>
        <w:pStyle w:val="Style_2"/>
        <w:spacing w:after="0" w:before="0" w:line="0" w:lineRule="atLeast"/>
        <w:ind/>
        <w:jc w:val="right"/>
      </w:pPr>
    </w:p>
    <w:p w14:paraId="20000000">
      <w:pPr>
        <w:pStyle w:val="Style_2"/>
        <w:spacing w:after="0" w:before="0" w:line="0" w:lineRule="atLeast"/>
        <w:ind/>
        <w:jc w:val="right"/>
      </w:pPr>
    </w:p>
    <w:p w14:paraId="21000000">
      <w:pPr>
        <w:pStyle w:val="Style_2"/>
        <w:spacing w:after="0" w:before="0" w:line="0" w:lineRule="atLeast"/>
        <w:ind/>
        <w:jc w:val="right"/>
      </w:pPr>
    </w:p>
    <w:p w14:paraId="22000000">
      <w:pPr>
        <w:pStyle w:val="Style_2"/>
        <w:spacing w:after="0" w:before="0" w:line="0" w:lineRule="atLeast"/>
        <w:ind/>
        <w:jc w:val="right"/>
      </w:pPr>
    </w:p>
    <w:p w14:paraId="23000000">
      <w:pPr>
        <w:pStyle w:val="Style_2"/>
        <w:spacing w:after="0" w:before="0" w:line="0" w:lineRule="atLeast"/>
        <w:ind/>
        <w:jc w:val="right"/>
      </w:pPr>
    </w:p>
    <w:p w14:paraId="24000000">
      <w:pPr>
        <w:pStyle w:val="Style_2"/>
        <w:spacing w:after="0" w:before="0" w:line="0" w:lineRule="atLeast"/>
        <w:ind/>
        <w:jc w:val="right"/>
      </w:pPr>
    </w:p>
    <w:p w14:paraId="25000000">
      <w:pPr>
        <w:pStyle w:val="Style_2"/>
        <w:spacing w:after="0" w:before="0" w:line="0" w:lineRule="atLeast"/>
        <w:ind/>
        <w:jc w:val="right"/>
      </w:pPr>
    </w:p>
    <w:p w14:paraId="26000000">
      <w:pPr>
        <w:pStyle w:val="Style_2"/>
        <w:spacing w:after="0" w:before="0" w:line="0" w:lineRule="atLeast"/>
        <w:ind/>
        <w:jc w:val="right"/>
      </w:pPr>
    </w:p>
    <w:p w14:paraId="27000000">
      <w:pPr>
        <w:pStyle w:val="Style_2"/>
        <w:spacing w:after="0" w:before="0" w:line="0" w:lineRule="atLeast"/>
        <w:ind/>
        <w:jc w:val="right"/>
      </w:pPr>
      <w:r>
        <w:rPr>
          <w:rFonts w:ascii="Times New Roman" w:hAnsi="Times New Roman"/>
          <w:sz w:val="28"/>
        </w:rPr>
        <w:t xml:space="preserve">    </w:t>
      </w:r>
    </w:p>
    <w:p w14:paraId="28000000">
      <w:pPr>
        <w:pStyle w:val="Style_2"/>
        <w:spacing w:after="0" w:before="0" w:line="0" w:lineRule="atLeast"/>
        <w:ind/>
        <w:jc w:val="right"/>
        <w:rPr>
          <w:rFonts w:ascii="Times New Roman" w:hAnsi="Times New Roman"/>
        </w:rPr>
      </w:pPr>
    </w:p>
    <w:p w14:paraId="29000000">
      <w:pPr>
        <w:pStyle w:val="Style_2"/>
        <w:spacing w:after="0" w:before="0" w:line="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Приложение 1</w:t>
      </w:r>
    </w:p>
    <w:p w14:paraId="2A000000">
      <w:pPr>
        <w:pStyle w:val="Style_1"/>
        <w:spacing w:line="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 постановлению Администрации</w:t>
      </w:r>
    </w:p>
    <w:p w14:paraId="2B000000">
      <w:pPr>
        <w:pStyle w:val="Style_1"/>
        <w:spacing w:line="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Сандовского муниципального округа </w:t>
      </w:r>
    </w:p>
    <w:p w14:paraId="2C000000">
      <w:pPr>
        <w:pStyle w:val="Style_1"/>
        <w:spacing w:line="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12.02.2021 г.  № 59 </w:t>
      </w:r>
    </w:p>
    <w:p w14:paraId="2D000000">
      <w:pPr>
        <w:pStyle w:val="Style_1"/>
        <w:spacing w:line="0" w:lineRule="atLeas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</w:p>
    <w:p w14:paraId="2E000000">
      <w:pPr>
        <w:pStyle w:val="Style_3"/>
        <w:spacing w:after="0" w:before="240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  <w:b w:val="0"/>
          <w:sz w:val="24"/>
        </w:rPr>
        <w:t xml:space="preserve">  </w:t>
      </w:r>
    </w:p>
    <w:p w14:paraId="2F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30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31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32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33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34000000">
      <w:pPr>
        <w:pStyle w:val="Style_1"/>
        <w:ind w:firstLine="0" w:left="-510"/>
        <w:jc w:val="center"/>
        <w:rPr>
          <w:rFonts w:ascii="Times New Roman" w:hAnsi="Times New Roman"/>
          <w:b w:val="1"/>
        </w:rPr>
      </w:pPr>
    </w:p>
    <w:p w14:paraId="35000000">
      <w:pPr>
        <w:pStyle w:val="Style_1"/>
        <w:rPr>
          <w:rFonts w:ascii="Times New Roman" w:hAnsi="Times New Roman"/>
          <w:b w:val="1"/>
        </w:rPr>
      </w:pPr>
    </w:p>
    <w:p w14:paraId="36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37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38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 ПРОГРАММА</w:t>
      </w:r>
    </w:p>
    <w:p w14:paraId="39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МУНИЦИПАЛЬНОГО ОКРУГА</w:t>
      </w:r>
    </w:p>
    <w:p w14:paraId="3A000000">
      <w:pPr>
        <w:pStyle w:val="Style_1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ТВЕРСКОЙ ОБЛАСТИ</w:t>
      </w:r>
    </w:p>
    <w:p w14:paraId="3B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3C000000">
      <w:pPr>
        <w:pStyle w:val="Style_1"/>
        <w:ind w:firstLine="540"/>
        <w:jc w:val="both"/>
        <w:rPr>
          <w:rFonts w:ascii="Times New Roman" w:hAnsi="Times New Roman"/>
          <w:b w:val="1"/>
        </w:rPr>
      </w:pPr>
    </w:p>
    <w:p w14:paraId="3D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«РАЗВИТИЕ МОЛОДЁЖНОЙ ПОЛИТИКИ </w:t>
      </w:r>
    </w:p>
    <w:p w14:paraId="3E000000">
      <w:pPr>
        <w:pStyle w:val="Style_1"/>
        <w:ind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САНДОВСКОГО МУНИЦИПАЛЬНОГО ОКРУГА </w:t>
      </w:r>
    </w:p>
    <w:p w14:paraId="3F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ТВЕРСКОЙ ОБЛАСТИ»</w:t>
      </w:r>
    </w:p>
    <w:p w14:paraId="40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на  2021-2026 годы</w:t>
      </w:r>
    </w:p>
    <w:p w14:paraId="41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42000000">
      <w:pPr>
        <w:pStyle w:val="Style_1"/>
        <w:ind/>
        <w:jc w:val="center"/>
        <w:rPr>
          <w:rFonts w:ascii="Times New Roman" w:hAnsi="Times New Roman"/>
          <w:b w:val="1"/>
        </w:rPr>
      </w:pPr>
    </w:p>
    <w:p w14:paraId="43000000">
      <w:pPr>
        <w:pStyle w:val="Style_1"/>
        <w:rPr>
          <w:rFonts w:ascii="Times New Roman" w:hAnsi="Times New Roman"/>
          <w:b w:val="1"/>
        </w:rPr>
      </w:pPr>
    </w:p>
    <w:p w14:paraId="44000000">
      <w:pPr>
        <w:pStyle w:val="Style_2"/>
        <w:ind/>
        <w:jc w:val="center"/>
        <w:rPr>
          <w:rFonts w:ascii="Times New Roman" w:hAnsi="Times New Roman"/>
          <w:b w:val="1"/>
        </w:rPr>
      </w:pPr>
    </w:p>
    <w:p w14:paraId="45000000">
      <w:pPr>
        <w:pStyle w:val="Style_2"/>
        <w:ind/>
        <w:jc w:val="center"/>
        <w:rPr>
          <w:rFonts w:ascii="Times New Roman" w:hAnsi="Times New Roman"/>
          <w:b w:val="1"/>
        </w:rPr>
      </w:pPr>
    </w:p>
    <w:p w14:paraId="46000000">
      <w:pPr>
        <w:pStyle w:val="Style_2"/>
        <w:ind/>
        <w:jc w:val="center"/>
        <w:rPr>
          <w:rFonts w:ascii="Times New Roman" w:hAnsi="Times New Roman"/>
          <w:b w:val="1"/>
        </w:rPr>
      </w:pPr>
    </w:p>
    <w:p w14:paraId="47000000">
      <w:pPr>
        <w:pStyle w:val="Style_2"/>
        <w:ind/>
        <w:jc w:val="center"/>
        <w:rPr>
          <w:rFonts w:ascii="Times New Roman" w:hAnsi="Times New Roman"/>
          <w:b w:val="1"/>
        </w:rPr>
      </w:pPr>
    </w:p>
    <w:p w14:paraId="48000000">
      <w:pPr>
        <w:pStyle w:val="Style_2"/>
        <w:ind/>
        <w:jc w:val="center"/>
        <w:rPr>
          <w:rFonts w:ascii="Times New Roman" w:hAnsi="Times New Roman"/>
          <w:b w:val="1"/>
        </w:rPr>
      </w:pPr>
    </w:p>
    <w:p w14:paraId="49000000">
      <w:pPr>
        <w:pStyle w:val="Style_2"/>
        <w:ind/>
        <w:jc w:val="center"/>
        <w:rPr>
          <w:rFonts w:ascii="Times New Roman" w:hAnsi="Times New Roman"/>
        </w:rPr>
      </w:pPr>
    </w:p>
    <w:p w14:paraId="4A000000">
      <w:pPr>
        <w:pStyle w:val="Style_2"/>
        <w:ind/>
        <w:jc w:val="center"/>
        <w:rPr>
          <w:rFonts w:ascii="Times New Roman" w:hAnsi="Times New Roman"/>
        </w:rPr>
      </w:pPr>
    </w:p>
    <w:p w14:paraId="4B000000">
      <w:pPr>
        <w:pStyle w:val="Style_2"/>
        <w:rPr>
          <w:rFonts w:ascii="Times New Roman" w:hAnsi="Times New Roman"/>
        </w:rPr>
      </w:pPr>
    </w:p>
    <w:p w14:paraId="4C000000">
      <w:pPr>
        <w:pStyle w:val="Style_2"/>
        <w:ind/>
        <w:jc w:val="center"/>
        <w:rPr>
          <w:rFonts w:ascii="Times New Roman" w:hAnsi="Times New Roman"/>
        </w:rPr>
      </w:pPr>
    </w:p>
    <w:p w14:paraId="4D000000">
      <w:pPr>
        <w:pStyle w:val="Style_2"/>
        <w:ind/>
        <w:jc w:val="center"/>
        <w:rPr>
          <w:rFonts w:ascii="Times New Roman" w:hAnsi="Times New Roman"/>
        </w:rPr>
      </w:pPr>
    </w:p>
    <w:p w14:paraId="4E000000">
      <w:pPr>
        <w:pStyle w:val="Style_2"/>
        <w:ind/>
        <w:jc w:val="center"/>
        <w:rPr>
          <w:rFonts w:ascii="Times New Roman" w:hAnsi="Times New Roman"/>
        </w:rPr>
      </w:pPr>
    </w:p>
    <w:p w14:paraId="4F000000">
      <w:pPr>
        <w:pStyle w:val="Style_2"/>
        <w:ind/>
        <w:jc w:val="center"/>
        <w:rPr>
          <w:rFonts w:ascii="Times New Roman" w:hAnsi="Times New Roman"/>
        </w:rPr>
      </w:pPr>
    </w:p>
    <w:p w14:paraId="50000000">
      <w:pPr>
        <w:pStyle w:val="Style_2"/>
        <w:ind/>
        <w:jc w:val="center"/>
        <w:rPr>
          <w:rFonts w:ascii="Times New Roman" w:hAnsi="Times New Roman"/>
        </w:rPr>
      </w:pPr>
    </w:p>
    <w:p w14:paraId="51000000">
      <w:pPr>
        <w:pStyle w:val="Style_2"/>
        <w:ind/>
        <w:jc w:val="center"/>
        <w:rPr>
          <w:rFonts w:ascii="Times New Roman" w:hAnsi="Times New Roman"/>
        </w:rPr>
      </w:pPr>
    </w:p>
    <w:p w14:paraId="52000000">
      <w:pPr>
        <w:pStyle w:val="Style_2"/>
        <w:ind/>
        <w:jc w:val="center"/>
        <w:rPr>
          <w:rFonts w:ascii="Times New Roman" w:hAnsi="Times New Roman"/>
        </w:rPr>
      </w:pPr>
    </w:p>
    <w:p w14:paraId="53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Сандово </w:t>
      </w:r>
    </w:p>
    <w:p w14:paraId="54000000">
      <w:pPr>
        <w:pStyle w:val="Style_2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 год</w:t>
      </w:r>
    </w:p>
    <w:p w14:paraId="55000000">
      <w:pPr>
        <w:pStyle w:val="Style_4"/>
        <w:ind w:firstLine="0" w:left="0" w:right="5"/>
        <w:jc w:val="center"/>
        <w:rPr>
          <w:rFonts w:ascii="Times New Roman CYR" w:hAnsi="Times New Roman CYR"/>
          <w:sz w:val="24"/>
        </w:rPr>
      </w:pPr>
    </w:p>
    <w:p w14:paraId="56000000">
      <w:pPr>
        <w:pStyle w:val="Style_4"/>
        <w:ind w:firstLine="0" w:left="0" w:right="5"/>
        <w:jc w:val="center"/>
      </w:pPr>
      <w:r>
        <w:rPr>
          <w:rFonts w:ascii="Times New Roman CYR" w:hAnsi="Times New Roman CYR"/>
          <w:sz w:val="24"/>
        </w:rPr>
        <w:t>ПАСПОРТ</w:t>
      </w:r>
    </w:p>
    <w:p w14:paraId="57000000">
      <w:pPr>
        <w:pStyle w:val="Style_1"/>
        <w:ind/>
        <w:jc w:val="center"/>
        <w:rPr>
          <w:rFonts w:ascii="Times New Roman" w:hAnsi="Times New Roman"/>
        </w:rPr>
      </w:pPr>
      <w:r>
        <w:t xml:space="preserve"> </w:t>
      </w:r>
      <w:r>
        <w:rPr>
          <w:rFonts w:ascii="Times New Roman" w:hAnsi="Times New Roman"/>
        </w:rPr>
        <w:t>муниципальной   программы</w:t>
      </w:r>
    </w:p>
    <w:p w14:paraId="58000000">
      <w:pPr>
        <w:pStyle w:val="Style_1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Сандовского муниципального округа Тверской области</w:t>
      </w:r>
    </w:p>
    <w:p w14:paraId="59000000">
      <w:pPr>
        <w:pStyle w:val="Style_1"/>
        <w:ind/>
        <w:jc w:val="center"/>
      </w:pPr>
      <w:r>
        <w:t xml:space="preserve">«Развитие молодёжной политики  Сандовского </w:t>
      </w:r>
      <w:r>
        <w:rPr>
          <w:rFonts w:ascii="Times New Roman" w:hAnsi="Times New Roman"/>
        </w:rPr>
        <w:t xml:space="preserve">муниципального округа </w:t>
      </w:r>
      <w:r>
        <w:t>Тверской области»</w:t>
      </w:r>
    </w:p>
    <w:p w14:paraId="5A000000">
      <w:pPr>
        <w:pStyle w:val="Style_1"/>
        <w:ind/>
        <w:jc w:val="center"/>
      </w:pPr>
      <w:r>
        <w:rPr>
          <w:vertAlign w:val="superscript"/>
        </w:rPr>
        <w:t>(Наименование программы)</w:t>
      </w:r>
    </w:p>
    <w:p w14:paraId="5B000000">
      <w:pPr>
        <w:pStyle w:val="Style_1"/>
        <w:ind/>
        <w:jc w:val="center"/>
      </w:pPr>
      <w:r>
        <w:rPr>
          <w:rFonts w:ascii="Times New Roman CYR" w:hAnsi="Times New Roman CYR"/>
        </w:rPr>
        <w:t xml:space="preserve">на 2021-2026 годы </w:t>
      </w:r>
    </w:p>
    <w:tbl>
      <w:tblPr>
        <w:tblStyle w:val="Style_5"/>
        <w:tblInd w:type="dxa" w:w="-151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960"/>
        <w:gridCol w:w="6320"/>
      </w:tblGrid>
      <w:t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Наименование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«Развитие молодежной политики  Сандовского муниципального округа Тверской области» на 2021 – 2026 гг.»</w:t>
            </w:r>
          </w:p>
        </w:tc>
      </w:tr>
      <w:tr>
        <w:trPr>
          <w:trHeight w:hRule="atLeast" w:val="77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Администратор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00000">
            <w:pPr>
              <w:pStyle w:val="Style_1"/>
              <w:widowControl w:val="0"/>
              <w:ind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Администрация Сандовского муниципального округа</w:t>
            </w:r>
          </w:p>
        </w:tc>
      </w:tr>
      <w:tr>
        <w:trPr>
          <w:trHeight w:hRule="atLeast" w:val="473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Срок  реализации</w:t>
            </w:r>
          </w:p>
          <w:p w14:paraId="61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00000">
            <w:pPr>
              <w:pStyle w:val="Style_1"/>
              <w:widowControl w:val="0"/>
              <w:ind w:firstLine="0" w:left="34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2021 – 2026 годы</w:t>
            </w:r>
          </w:p>
        </w:tc>
      </w:tr>
      <w:tr>
        <w:trPr>
          <w:trHeight w:hRule="atLeast" w:val="497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Цель 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«Создание  условий для гражданского становления, эффективной социализации и самореализации молодых граждан»</w:t>
            </w:r>
          </w:p>
        </w:tc>
      </w:tr>
      <w:tr>
        <w:trPr>
          <w:trHeight w:hRule="atLeast" w:val="984"/>
        </w:trP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Подпрограммы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00000">
            <w:pPr>
              <w:pStyle w:val="Style_1"/>
              <w:widowControl w:val="0"/>
              <w:ind/>
              <w:jc w:val="both"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sz w:val="22"/>
              </w:rPr>
              <w:t>"Создание условий для вовлечения  молодежи в    общественно-политическую,  социально-экономическую  и культурную жизнь общества»</w:t>
            </w:r>
          </w:p>
        </w:tc>
      </w:tr>
      <w:t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Ожидаемые  конечные  результаты реализации  Программы</w:t>
            </w:r>
          </w:p>
          <w:p w14:paraId="68000000">
            <w:pPr>
              <w:pStyle w:val="Style_1"/>
              <w:widowControl w:val="0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1. Создание условий и возможностей для успешной самореализации молодежи;</w:t>
            </w:r>
          </w:p>
          <w:p w14:paraId="6A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2. Учёт актуальности и специфики социальных проблем молодежи различных возрастных групп;</w:t>
            </w:r>
          </w:p>
          <w:p w14:paraId="6B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3. Развитие интеллектуального и творческого потенциала молодежи;</w:t>
            </w:r>
          </w:p>
          <w:p w14:paraId="6C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4. Снижение уровня асоциального поведения подростков и молодых граждан;</w:t>
            </w:r>
          </w:p>
          <w:p w14:paraId="6D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5. Повышение уровня деловой активности молодежи;</w:t>
            </w:r>
          </w:p>
          <w:p w14:paraId="6E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6. Содействие укреплению здоровья подростков и молодых граждан;</w:t>
            </w:r>
          </w:p>
          <w:p w14:paraId="6F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7.Повышение уровня самоорганизации подростков и молодых граждан, развитие детского и молодежного движения  на единой организационной основе;</w:t>
            </w:r>
          </w:p>
          <w:p w14:paraId="70000000">
            <w:pPr>
              <w:pStyle w:val="Style_1"/>
              <w:widowControl w:val="0"/>
              <w:ind/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>8. Формирование информационно-аналитического обеспечения развития молодежной политики</w:t>
            </w:r>
          </w:p>
        </w:tc>
      </w:tr>
      <w:tr>
        <w:tc>
          <w:tcPr>
            <w:tcW w:type="dxa" w:w="396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Объемы и источники финансирования ( в разрезе годов ) Программы</w:t>
            </w:r>
          </w:p>
        </w:tc>
        <w:tc>
          <w:tcPr>
            <w:tcW w:type="dxa" w:w="63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Общий объём финансирования программы на 2021 – 2026 годы – 180 тыс. руб.</w:t>
            </w:r>
          </w:p>
          <w:p w14:paraId="73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2021 год –  30 000 рублей</w:t>
            </w:r>
          </w:p>
          <w:p w14:paraId="74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2022 год –  30 000 рублей</w:t>
            </w:r>
          </w:p>
          <w:p w14:paraId="75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2023 год –  30 000  рублей</w:t>
            </w:r>
          </w:p>
          <w:p w14:paraId="76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2024 год –  30 000  рублей</w:t>
            </w:r>
          </w:p>
          <w:p w14:paraId="77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2025 год –  30 000 рублей</w:t>
            </w:r>
          </w:p>
          <w:p w14:paraId="78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2026 год –  30 000 рублей</w:t>
            </w:r>
          </w:p>
          <w:p w14:paraId="79000000">
            <w:pPr>
              <w:pStyle w:val="Style_1"/>
              <w:widowControl w:val="0"/>
              <w:ind/>
            </w:pPr>
            <w:r>
              <w:rPr>
                <w:rFonts w:ascii="Times New Roman" w:hAnsi="Times New Roman"/>
                <w:sz w:val="20"/>
              </w:rPr>
              <w:t>Финансирование программы осуществляется за счёт средств районного бюджета.</w:t>
            </w:r>
          </w:p>
        </w:tc>
      </w:tr>
    </w:tbl>
    <w:p w14:paraId="7A000000">
      <w:pPr>
        <w:pStyle w:val="Style_1"/>
        <w:ind w:firstLine="0" w:left="360"/>
        <w:rPr>
          <w:rFonts w:ascii="Times New Roman" w:hAnsi="Times New Roman"/>
          <w:sz w:val="20"/>
        </w:rPr>
      </w:pPr>
    </w:p>
    <w:p w14:paraId="7B000000">
      <w:pPr>
        <w:pStyle w:val="Style_1"/>
        <w:spacing w:line="0" w:lineRule="atLeast"/>
        <w:ind w:firstLine="0" w:left="360"/>
      </w:pPr>
      <w:r>
        <w:rPr>
          <w:rFonts w:ascii="Times New Roman" w:hAnsi="Times New Roman"/>
          <w:b w:val="1"/>
          <w:sz w:val="20"/>
        </w:rPr>
        <w:t>Раздел 1. Общая характеристика сферы реализации программы</w:t>
      </w:r>
    </w:p>
    <w:p w14:paraId="7C000000">
      <w:pPr>
        <w:pStyle w:val="Style_6"/>
        <w:spacing w:line="0" w:lineRule="atLeast"/>
        <w:ind w:firstLine="649"/>
        <w:jc w:val="both"/>
      </w:pPr>
      <w:r>
        <w:rPr>
          <w:rFonts w:ascii="Times New Roman" w:hAnsi="Times New Roman"/>
        </w:rPr>
        <w:t>Муниципальная программа является продолжением системы мер реализации государственной молодежной политики, направленной на создание правовых, экономических и организационных условий для развития личности, поддержки молодежных объединений, в целях повышения социального благополучия.</w:t>
      </w:r>
    </w:p>
    <w:p w14:paraId="7D000000">
      <w:pPr>
        <w:pStyle w:val="Style_6"/>
        <w:spacing w:line="0" w:lineRule="atLeast"/>
        <w:ind w:firstLine="649"/>
        <w:jc w:val="both"/>
      </w:pPr>
      <w:r>
        <w:rPr>
          <w:rFonts w:ascii="Times New Roman" w:hAnsi="Times New Roman"/>
        </w:rPr>
        <w:t xml:space="preserve">Проблемы сохранения и укрепления здоровья молодежи необходимо решать при взаимодействии с другими отраслями социальной сферы: здравоохранением, образованием, культурой, спортом. Сегодня сотрудничество приобретает самые разнообразные формы: создание совместных программ, деятельность в межведомственных комиссиях, проведение форумов, летней оздоровительной кампании. </w:t>
      </w:r>
    </w:p>
    <w:p w14:paraId="7E000000">
      <w:pPr>
        <w:pStyle w:val="Style_7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Молодое население Сандовского муниципального округа составляет  709 человека, что от общего количества населения  13%. </w:t>
      </w:r>
    </w:p>
    <w:p w14:paraId="7F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Многие молодые люди в условиях жесткой рыночной экономики, сталкиваясь с различными проблемами, показывают неспособность разрешить их и оказываются за чертой социальной нормы, увеличивая уровень преступности, рост наркомании и прочих асоциальных проявлений. Однако анализ криминогенной обстановки по линии несовершеннолетних  показал, что, благодаря совместной работе органа молодежной политики других социальных сфер с правоохранительными органами, произошло резкое снижение числа преступлений, совершенных подростками. Два раза в месяц на заседаниях КДН рассматриваются вопросы состояния оперативной обстановки в ОВД по линии несовершеннолетних, где особое внимание уделяется проблемам профилактики алкоголизма, токсикомании и наркомании. В связи с этим необходима эффективная система межведомственной поддержки семьи, подростков и молодежи.</w:t>
      </w:r>
    </w:p>
    <w:p w14:paraId="80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Современную реальность характеризует уменьшение воспитательного воздействия на молодого человека со стороны традиционных институтов воспитания, социализации, адаптации личности - семьи, школы, коллектива. Продолжает возрастать роль неконтролируемой среды. Нарастают процессы распада общественных связей, индивидуализации поведения. Все это происходит на фоне социальной дифференциации в молодежной сфере по различным основаниям - имущественным, социально-бытовым, возможности самореализации.  С ростом ценности образования и необходимости ориентации молодых людей на собственные силы в профессиональной подготовке, особую актуальность приобретают различные способы поддержки талантливой молодежи. В Сандовском муниципальном округе реализуются программы поддержки талантливой молодежи через участие старшеклассников в различных проектах, защищаемых на «Дне молодёжного самоуправления». Социальная адаптация и самореализация  молодежи в обществе также связана с ее трудоустройством и занятостью. Поддержка в  трудоустройстве  молодёжи осуществляется  при содействии Центра занятости населения, КДН и ЗП.   Современная реальность характеризуется сменой традиционных устоев жизни. Для того, чтобы не ослабла связь между формирующейся личностью молодого человека и его Родиной, которая является ценностной основой гражданского становления личности, орган по реализации молодежной политики совместно с заинтересованными ведомствами проводят мероприятия в районе, поддерживаем  программы, целью которых является воспитание духовности и патриотизма среди подростков и молодежи, подготовка молодежи к службе в Вооруженных силах России. </w:t>
      </w:r>
    </w:p>
    <w:p w14:paraId="81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Однако, еще не создана четкая система межведомственного взаимодействия по патриотическому воспитанию молодежи. Необходимо внедрять опережающие действенные, привлекательные, современные формы и методы военно-патриотического и гражданского воспитания детей, подростков и молодежи, а также осваивать и внедрять новые технологии в решении данной проблемы. Необходимо привлекать средства массовой информации к освещению военно-патриотической работы и ее результатов, повышать престиж и привлекательность Армии. Необходима популяризация массовых занятий спортом, подготовки юношей к военной службе через занятия военно-прикладными видами спорта.</w:t>
      </w:r>
    </w:p>
    <w:p w14:paraId="82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Участие самой молодежи в формировании и реализации государственной молодежной политики является главным условием становления личности. Пока недостаточно продуман механизм действенного вовлечения молодежи в проводимые органами по реализации молодежной политики мероприятия, ей адресованные. Одна из форм представительства интересов молодежи перед государством - деятельность молодежных и детских общественных объединений.</w:t>
      </w:r>
    </w:p>
    <w:p w14:paraId="83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В Сандовском муниципальном округе существует ряд активно работающих молодежных организаций и объединений: молодежный Совет, ученические  советы, молодежное объединение добровольцев, патриотический клуб «Факел». Формируется реестр молодежных общественных объединений, оказывается методическая и организационная помощь.</w:t>
      </w:r>
    </w:p>
    <w:p w14:paraId="84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Рост общественно-полезной инициативы со стороны молодежи должен встретить адекватный ответ со стороны муниципальной власти в виде привлечения детских и молодежных общественных организаций не только к участию в обсуждении и выработке молодежной политики, но и к активному участию в ее реализации. Ежегодное проведение молодёжной игры «День молодёжного самоуправления» даёт возможность проявить молодым людям, как участникам исполнительной власти в районе. </w:t>
      </w:r>
    </w:p>
    <w:p w14:paraId="85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sz w:val="20"/>
        </w:rPr>
        <w:t>Семья</w:t>
      </w:r>
      <w:r>
        <w:rPr>
          <w:rFonts w:ascii="Times New Roman" w:hAnsi="Times New Roman"/>
          <w:sz w:val="20"/>
        </w:rPr>
        <w:t xml:space="preserve"> - сложный социальный организм, который связан многообразными отношениями с государством и обществом. Именно поэтому ее состояние напрямую зависит от уровня развития страны, региона, конкретного города, района, а также от эффективности работы органов местного самоуправления. Большое значение имеют показатели стабильности семьи, прочность брака, а также необходимые условия для реализации ее продуктивной функции.</w:t>
      </w:r>
    </w:p>
    <w:p w14:paraId="86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sz w:val="20"/>
        </w:rPr>
        <w:t xml:space="preserve">Молодая семья </w:t>
      </w:r>
      <w:r>
        <w:rPr>
          <w:rFonts w:ascii="Times New Roman" w:hAnsi="Times New Roman"/>
          <w:sz w:val="20"/>
        </w:rPr>
        <w:t xml:space="preserve">- важный субъект молодежной политики. На решение проблемы упрочнения института семьи направлены комплексные мероприятия по поддержке молодых семей. Факторы, определяющие социальное положение молодых семей на территории округа, заключаются в следующем: </w:t>
      </w:r>
    </w:p>
    <w:p w14:paraId="87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1. Молодые семьи имеют сравнительно низкий уровень материально-финансовой обеспеченности, что вытекает из объективной действительности. Молодые супруги зачастую не имеют достаточного профессионального опыта и поэтому получают более низкую зарплату. </w:t>
      </w:r>
    </w:p>
    <w:p w14:paraId="88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2. У молодых семей повышенные материальные и финансовые потребности в связи с необходимостью укрепления семейной жизни.</w:t>
      </w:r>
    </w:p>
    <w:p w14:paraId="89000000">
      <w:pPr>
        <w:pStyle w:val="Style_1"/>
        <w:spacing w:line="0" w:lineRule="atLeast"/>
        <w:ind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3. Именно молодые семьи имеют, как правило, малолетних детей, у которых особые потребности в еде и одежде, в особом подходе к их обучению, воспитанию, укреплению здоровья. </w:t>
      </w:r>
      <w:r>
        <w:rPr>
          <w:rFonts w:ascii="Times New Roman" w:hAnsi="Times New Roman"/>
          <w:sz w:val="20"/>
        </w:rPr>
        <w:br/>
      </w:r>
      <w:r>
        <w:rPr>
          <w:rFonts w:ascii="Times New Roman" w:hAnsi="Times New Roman"/>
          <w:sz w:val="20"/>
        </w:rPr>
        <w:t xml:space="preserve">4. Психологическая неподготовленность к семейной жизни, зачастую приводит к внутрисемейным конфликтам,  распаду семьи. </w:t>
      </w:r>
    </w:p>
    <w:p w14:paraId="8A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>Главный принцип организации свободного времени молодежи - это создание условий для реализации культурных потребностей в различных социально-полезных сферах жизнедеятельности.</w:t>
      </w:r>
    </w:p>
    <w:p w14:paraId="8B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В муниципальном округе ведется работа по развитию форм досуговой деятельности. Организация свободного времени молодежи осуществляется через проведение  танцевальных и музыкальных программ, эколого-краеведческих экспедиций и слетов, спортивных состязаний.   </w:t>
      </w:r>
    </w:p>
    <w:p w14:paraId="8C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 xml:space="preserve">В последнее время успешно идет работа по созданию позитивного имиджа органов управления молодежной политики. Приятно осознавать, что уже сегодня специалисты данной сферы пользуются не только доверием молодежи, но и авторитетом у различных структур власти местных и областных. Это позволяет решать поставленные задачи на более высоком качественном уровне.  </w:t>
      </w:r>
    </w:p>
    <w:p w14:paraId="8D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Одним из ключевых способов создания позитивного имиджа органов молодежной политики является активное взаимодействие со средствами массовой информации. Главным принципом совместной работы органов молодежной политики является открытость и уважение к партнерам. С успешной имиджевой политикой тесно связано и такое приоритетное программное направление государственной молодежной политики, как информационное обеспечение жизнедеятельности молодежи. Однако, это направление следует развивать с большей интенсивностью.  </w:t>
      </w:r>
    </w:p>
    <w:p w14:paraId="8E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  <w:sz w:val="20"/>
        </w:rPr>
        <w:t>Для создания стройной системы реализации молодежной политики необходимо создание межведомственного координационного совета по реализации государственной молодежной политики, в состав которого должны войти отделы, учреждения, занимающиеся проблемами подростков и молодежи. При переходе на программно-целевой принцип реализации молодежной политики необходима также разработка недостающей нормативно-правовой базы, которая бы соответствовала механизму, предложенному в программе.</w:t>
      </w:r>
    </w:p>
    <w:p w14:paraId="8F000000">
      <w:pPr>
        <w:pStyle w:val="Style_1"/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90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sz w:val="20"/>
        </w:rPr>
        <w:t xml:space="preserve">               </w:t>
      </w:r>
      <w:r>
        <w:rPr>
          <w:rStyle w:val="Style_8_ch"/>
          <w:rFonts w:ascii="Times New Roman" w:hAnsi="Times New Roman"/>
          <w:sz w:val="20"/>
        </w:rPr>
        <w:t xml:space="preserve">Раздел II.  Цель  Программы  </w:t>
      </w:r>
    </w:p>
    <w:p w14:paraId="91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>Цель муниципальной программы – «Создание условий для гражданского становления, эффективной социализации и самореализации молодых граждан».</w:t>
      </w:r>
    </w:p>
    <w:p w14:paraId="92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Показателями, характеризующими достижение  цели государственной программы, являются:</w:t>
      </w:r>
    </w:p>
    <w:p w14:paraId="93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а) доля молодых граждан района, участвующих в мероприятиях  молодежной политики;</w:t>
      </w:r>
    </w:p>
    <w:p w14:paraId="94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б) уровень информированности молодежи о предоставляемых в Сандовском муниципальном округе возможностях для саморазвития и самореализации.</w:t>
      </w:r>
    </w:p>
    <w:p w14:paraId="95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Значения показателей цели муниципальной программы по годам ее реализации  приведены в приложении 2.            </w:t>
      </w:r>
    </w:p>
    <w:p w14:paraId="96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Описание характеристик показателей цели государственной программы приведены в приложении 1.</w:t>
      </w:r>
    </w:p>
    <w:p w14:paraId="97000000">
      <w:pPr>
        <w:pStyle w:val="Style_1"/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98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sz w:val="20"/>
        </w:rPr>
        <w:t xml:space="preserve">              </w:t>
      </w:r>
      <w:r>
        <w:rPr>
          <w:rStyle w:val="Style_8_ch"/>
          <w:rFonts w:ascii="Times New Roman" w:hAnsi="Times New Roman"/>
          <w:sz w:val="20"/>
        </w:rPr>
        <w:t xml:space="preserve">Раздел III.  Подпрограмма </w:t>
      </w:r>
    </w:p>
    <w:p w14:paraId="99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   </w:t>
      </w:r>
      <w:r>
        <w:rPr>
          <w:rStyle w:val="Style_8_ch"/>
          <w:rFonts w:ascii="Times New Roman" w:hAnsi="Times New Roman"/>
          <w:b w:val="0"/>
          <w:sz w:val="20"/>
        </w:rPr>
        <w:t>Достижение цели программы обеспечивает подпрограмма</w:t>
      </w:r>
      <w:r>
        <w:rPr>
          <w:rFonts w:ascii="Times New Roman" w:hAnsi="Times New Roman"/>
          <w:sz w:val="20"/>
        </w:rPr>
        <w:t xml:space="preserve"> «Создание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yle_8_ch"/>
          <w:rFonts w:ascii="Times New Roman" w:hAnsi="Times New Roman"/>
          <w:sz w:val="20"/>
        </w:rPr>
        <w:t>.</w:t>
      </w:r>
    </w:p>
    <w:p w14:paraId="9A000000">
      <w:pPr>
        <w:pStyle w:val="Style_1"/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9B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sz w:val="20"/>
        </w:rPr>
        <w:t xml:space="preserve">            </w:t>
      </w:r>
      <w:r>
        <w:rPr>
          <w:rStyle w:val="Style_8_ch"/>
          <w:rFonts w:ascii="Times New Roman" w:hAnsi="Times New Roman"/>
          <w:sz w:val="20"/>
        </w:rPr>
        <w:t xml:space="preserve">Подраздел 1.  </w:t>
      </w:r>
    </w:p>
    <w:p w14:paraId="9C000000">
      <w:pPr>
        <w:pStyle w:val="Style_1"/>
        <w:spacing w:line="0" w:lineRule="atLeast"/>
        <w:ind w:firstLine="720"/>
        <w:jc w:val="both"/>
        <w:rPr>
          <w:rStyle w:val="Style_8_ch"/>
          <w:rFonts w:ascii="Times New Roman" w:hAnsi="Times New Roman"/>
          <w:b w:val="0"/>
          <w:sz w:val="20"/>
        </w:rPr>
      </w:pPr>
      <w:r>
        <w:rPr>
          <w:rStyle w:val="Style_8_ch"/>
          <w:rFonts w:ascii="Times New Roman" w:hAnsi="Times New Roman"/>
          <w:b w:val="0"/>
          <w:sz w:val="20"/>
        </w:rPr>
        <w:t xml:space="preserve">Подпрограмма </w:t>
      </w:r>
      <w:r>
        <w:rPr>
          <w:rStyle w:val="Style_8_ch"/>
          <w:rFonts w:ascii="Times New Roman" w:hAnsi="Times New Roman"/>
          <w:sz w:val="20"/>
        </w:rPr>
        <w:t>«</w:t>
      </w:r>
      <w:r>
        <w:rPr>
          <w:rFonts w:ascii="Times New Roman" w:hAnsi="Times New Roman"/>
          <w:sz w:val="20"/>
        </w:rPr>
        <w:t>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yle_8_ch"/>
          <w:rFonts w:ascii="Times New Roman" w:hAnsi="Times New Roman"/>
          <w:b w:val="0"/>
          <w:sz w:val="20"/>
        </w:rPr>
        <w:t xml:space="preserve"> разработана с учётом приоритетных  направлений перспективной межведомственной деятельности по созданию условий для решения важных проблем молодёжи в Сандовском </w:t>
      </w:r>
      <w:r>
        <w:rPr>
          <w:rFonts w:ascii="Times New Roman" w:hAnsi="Times New Roman"/>
          <w:sz w:val="20"/>
        </w:rPr>
        <w:t xml:space="preserve">муниципальном округе </w:t>
      </w:r>
      <w:r>
        <w:rPr>
          <w:rStyle w:val="Style_8_ch"/>
          <w:rFonts w:ascii="Times New Roman" w:hAnsi="Times New Roman"/>
          <w:b w:val="0"/>
          <w:sz w:val="20"/>
        </w:rPr>
        <w:t xml:space="preserve"> в период 2021 – 2026 годов.</w:t>
      </w:r>
    </w:p>
    <w:p w14:paraId="9D000000">
      <w:pPr>
        <w:pStyle w:val="Style_1"/>
        <w:spacing w:line="0" w:lineRule="atLeast"/>
        <w:ind w:firstLine="720"/>
        <w:jc w:val="both"/>
        <w:rPr>
          <w:rStyle w:val="Style_8_ch"/>
          <w:rFonts w:ascii="Times New Roman" w:hAnsi="Times New Roman"/>
          <w:b w:val="0"/>
          <w:sz w:val="20"/>
        </w:rPr>
      </w:pPr>
    </w:p>
    <w:p w14:paraId="9E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                                            </w:t>
      </w:r>
      <w:r>
        <w:rPr>
          <w:rStyle w:val="Style_8_ch"/>
          <w:rFonts w:ascii="Times New Roman" w:hAnsi="Times New Roman"/>
          <w:sz w:val="20"/>
        </w:rPr>
        <w:t>Глава  1. Задачи подпрограммы</w:t>
      </w:r>
    </w:p>
    <w:p w14:paraId="9F000000">
      <w:pPr>
        <w:pStyle w:val="Style_1"/>
        <w:spacing w:line="0" w:lineRule="atLeast"/>
        <w:ind w:firstLine="720"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</w:t>
      </w:r>
      <w:r>
        <w:rPr>
          <w:rStyle w:val="Style_8_ch"/>
          <w:rFonts w:ascii="Times New Roman" w:hAnsi="Times New Roman"/>
          <w:b w:val="0"/>
          <w:sz w:val="20"/>
        </w:rPr>
        <w:t>Выделение задач подпрограммы и её соответствие цели «</w:t>
      </w:r>
      <w:r>
        <w:rPr>
          <w:rFonts w:ascii="Times New Roman" w:hAnsi="Times New Roman"/>
          <w:sz w:val="20"/>
        </w:rPr>
        <w:t>Создание эффективной системы межведомственного взаимодействия, направленной на укрепление здоровья подростков и молодежи, пропаганду здорового образа жизни, создание условий, позволяющих развивать научный, творческий, интеллектуальный и профессиональный потенциал личности с учетом индивидуальных способностей и возможностей» обусловлено Государственной  программой Тверской области «Молодёжь Верхневолжья» на 2017-2022 гг.</w:t>
      </w:r>
    </w:p>
    <w:p w14:paraId="A0000000">
      <w:pPr>
        <w:pStyle w:val="Style_1"/>
        <w:spacing w:line="0" w:lineRule="atLeast"/>
        <w:ind w:firstLine="0" w:left="34"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         </w:t>
      </w:r>
      <w:r>
        <w:rPr>
          <w:rStyle w:val="Style_8_ch"/>
          <w:rFonts w:ascii="Times New Roman" w:hAnsi="Times New Roman"/>
          <w:b w:val="0"/>
          <w:sz w:val="20"/>
        </w:rPr>
        <w:t>Реализация подпрограммы будет обеспечиваться решением следующих задач:</w:t>
      </w:r>
    </w:p>
    <w:p w14:paraId="A1000000">
      <w:pPr>
        <w:pStyle w:val="Style_1"/>
        <w:tabs>
          <w:tab w:leader="none" w:pos="390" w:val="left"/>
          <w:tab w:leader="none" w:pos="709" w:val="clear"/>
        </w:tabs>
        <w:spacing w:line="0" w:lineRule="atLeast"/>
        <w:ind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     </w:t>
      </w:r>
      <w:r>
        <w:rPr>
          <w:rFonts w:ascii="Times New Roman" w:hAnsi="Times New Roman"/>
          <w:sz w:val="20"/>
        </w:rPr>
        <w:t>а) задача 1 «Содействие развитию гражданско-патриотического и духовно-нравственного воспитания молодежи»;</w:t>
      </w:r>
    </w:p>
    <w:p w14:paraId="A2000000">
      <w:pPr>
        <w:pStyle w:val="Style_1"/>
        <w:tabs>
          <w:tab w:leader="none" w:pos="390" w:val="left"/>
          <w:tab w:leader="none" w:pos="709" w:val="clear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б) задача 2 «Поддержка общественно значимых молодежных инициатив и деятельности детских и молодежных общественных объединений»;</w:t>
      </w:r>
    </w:p>
    <w:p w14:paraId="A3000000">
      <w:pPr>
        <w:pStyle w:val="Style_1"/>
        <w:tabs>
          <w:tab w:leader="none" w:pos="390" w:val="left"/>
          <w:tab w:leader="none" w:pos="709" w:val="clear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в) задача 3 «Развитие деятельности, направленной на формирование здорового образа жизни»;</w:t>
      </w:r>
    </w:p>
    <w:p w14:paraId="A4000000">
      <w:pPr>
        <w:pStyle w:val="Style_1"/>
        <w:tabs>
          <w:tab w:leader="none" w:pos="390" w:val="left"/>
          <w:tab w:leader="none" w:pos="709" w:val="clear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>Решение задачи 1 «Содействие развитию гражданско-патриотического и духовно-нравственного воспитания молодежи» оценивается с помощью следующего показателя:</w:t>
      </w:r>
    </w:p>
    <w:p w14:paraId="A5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- доля молодежи, принявшая участие в мероприятиях гражданско-патриотической  и духовно- нравственной направленности;                                                                                  </w:t>
      </w:r>
    </w:p>
    <w:p w14:paraId="A6000000">
      <w:pPr>
        <w:pStyle w:val="Style_1"/>
        <w:widowControl w:val="0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- участие в форуме «Молодёжь Верхневолжья» </w:t>
      </w:r>
    </w:p>
    <w:p w14:paraId="A7000000">
      <w:pPr>
        <w:pStyle w:val="Style_1"/>
        <w:spacing w:line="0" w:lineRule="atLeast"/>
        <w:ind/>
        <w:jc w:val="both"/>
      </w:pPr>
      <w:r>
        <w:rPr>
          <w:rStyle w:val="Style_8_ch"/>
          <w:rFonts w:ascii="Times New Roman" w:hAnsi="Times New Roman"/>
          <w:b w:val="0"/>
          <w:sz w:val="20"/>
        </w:rPr>
        <w:t xml:space="preserve">     </w:t>
      </w:r>
      <w:r>
        <w:rPr>
          <w:rFonts w:ascii="Times New Roman" w:hAnsi="Times New Roman"/>
          <w:sz w:val="20"/>
        </w:rPr>
        <w:t>Решение задачи 2 «Поддержка общественно значимых молодежных инициатив и деятельности детских и молодежных общественных объединений» оценивается с помощью следующего показателя:</w:t>
      </w:r>
    </w:p>
    <w:p w14:paraId="A8000000">
      <w:pPr>
        <w:pStyle w:val="Style_1"/>
        <w:spacing w:line="0" w:lineRule="atLeast"/>
        <w:ind w:firstLine="708"/>
        <w:jc w:val="both"/>
      </w:pPr>
      <w:r>
        <w:rPr>
          <w:rFonts w:ascii="Times New Roman" w:hAnsi="Times New Roman"/>
          <w:sz w:val="20"/>
        </w:rPr>
        <w:t>-  доля молодежи, принимающая участие в деятельности детских и молодежных общественных объединений;</w:t>
      </w:r>
    </w:p>
    <w:p w14:paraId="A9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Решение задачи 3 «Развитие деятельности, направленной на формирование здорового образа жизни» оценивается с помощью       показателя </w:t>
      </w:r>
    </w:p>
    <w:p w14:paraId="AA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 доля молодых граждан, участвующих в мероприятиях, направленных на формирование здорового образа жизни.</w:t>
      </w:r>
    </w:p>
    <w:p w14:paraId="AB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     </w:t>
      </w:r>
      <w:r>
        <w:rPr>
          <w:rStyle w:val="Style_8_ch"/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sz w:val="20"/>
        </w:rPr>
        <w:t>Описание характеристик показателей задач подпрограммы  «Создание условий для вовлечения молодежи в общественно-политическую, социально-экономическую и культурную жизнь общества» приведены в приложении  к настоящей  программе.</w:t>
      </w:r>
    </w:p>
    <w:p w14:paraId="AC000000">
      <w:pPr>
        <w:pStyle w:val="Style_1"/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AD00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b w:val="1"/>
          <w:sz w:val="20"/>
        </w:rPr>
        <w:t xml:space="preserve">                                                             </w:t>
      </w:r>
      <w:r>
        <w:rPr>
          <w:rFonts w:ascii="Times New Roman" w:hAnsi="Times New Roman"/>
          <w:b w:val="1"/>
          <w:sz w:val="20"/>
        </w:rPr>
        <w:t>Глава 2. Мероприятия подпрограммы</w:t>
      </w:r>
    </w:p>
    <w:p w14:paraId="AE000000">
      <w:pPr>
        <w:pStyle w:val="Style_1"/>
        <w:spacing w:line="0" w:lineRule="atLeast"/>
        <w:ind w:firstLine="708"/>
        <w:jc w:val="both"/>
      </w:pPr>
      <w:r>
        <w:rPr>
          <w:rFonts w:ascii="Times New Roman" w:hAnsi="Times New Roman"/>
          <w:sz w:val="20"/>
        </w:rPr>
        <w:t xml:space="preserve">Решение задачи 1 «Содействие развитию гражданско-патриотического и духовно-нравственного воспитания молодежи» осуществляется посредством выполнения следующих мероприятий подпрограммы </w:t>
      </w:r>
      <w:r>
        <w:rPr>
          <w:rStyle w:val="Style_8_ch"/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«Создание условий для вовлечения  молодежи в    общественно-политическую,  социально-экономическую  и культурную жизнь общества»</w:t>
      </w:r>
      <w:r>
        <w:rPr>
          <w:rStyle w:val="Style_8_ch"/>
          <w:rFonts w:ascii="Times New Roman" w:hAnsi="Times New Roman"/>
          <w:sz w:val="20"/>
        </w:rPr>
        <w:t>.</w:t>
      </w:r>
    </w:p>
    <w:p w14:paraId="AF00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а) мероприятие «Организация и проведение мероприятий, посвященных Дням воинской славы России»;</w:t>
      </w:r>
    </w:p>
    <w:p w14:paraId="B000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б) административное мероприятие «Организация и проведение мероприятий направленных на вовлечение молодёжи в творческую деятельность»</w:t>
      </w:r>
    </w:p>
    <w:p w14:paraId="B100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в) мероприятие  «Проведение мероприятий по благоустройству воинских захоронений»;</w:t>
      </w:r>
    </w:p>
    <w:p w14:paraId="B2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Решение задачи 2 «Поддержка общественно значимых молодежных инициатив и деятельности детских и молодежных общественных объединений» осуществляется посредством выполнения следующих  мероприятий:</w:t>
      </w:r>
    </w:p>
    <w:p w14:paraId="B3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мероприятие «Организация  деятельности молодежного Совета Сандовского муниципального округа»;</w:t>
      </w:r>
    </w:p>
    <w:p w14:paraId="B4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б) административное мероприятие  «Проведение   мероприятий в сфере развития добровольчества»;</w:t>
      </w:r>
    </w:p>
    <w:p w14:paraId="B5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в) административное мероприятие «Ведение  реестра детских и молодежных общественных объединений».</w:t>
      </w:r>
    </w:p>
    <w:p w14:paraId="B6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г)  административное мероприятие «Информирование молодёжи в части безопасного поведения, действий в чрезвычайных ситуациях»</w:t>
      </w:r>
    </w:p>
    <w:p w14:paraId="B7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Решение задачи 3 «Развитие деятельности, направленной на формирование здорового образа жизни» осуществляется посредством выполнения следующих  мероприятий:</w:t>
      </w:r>
    </w:p>
    <w:p w14:paraId="B8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мероприятие «Участие в региональном фестивале работающей молодёжи Тверской области»;</w:t>
      </w:r>
    </w:p>
    <w:p w14:paraId="B9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б) административное  мероприятие «Проведение молодежных   мероприятий, направленных на формирование здорового образа жизни»;</w:t>
      </w:r>
    </w:p>
    <w:p w14:paraId="BA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в) административное мероприятие «Информационное сопровождение  молодежной политики в Сандовском муниципальном округе через газету «Сандовские вести».</w:t>
      </w:r>
    </w:p>
    <w:p w14:paraId="BB00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>Выполнение каждого мероприятия подпрограммы  «Создание условий для вовлечения молодежи в общественно-политическую, социально-экономическую и культурную жизнь общества» оценивается с помощью показателей, перечень которых и их значения по годам реализации  программы приведены в приложении  к настоящей программе и таблице 1.</w:t>
      </w:r>
    </w:p>
    <w:p w14:paraId="BC000000">
      <w:pPr>
        <w:pStyle w:val="Style_1"/>
        <w:spacing w:line="0" w:lineRule="atLeast"/>
        <w:ind w:firstLine="720"/>
        <w:jc w:val="center"/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Таблица  1</w:t>
      </w:r>
    </w:p>
    <w:tbl>
      <w:tblPr>
        <w:tblStyle w:val="Style_5"/>
        <w:tblInd w:type="dxa" w:w="-306"/>
        <w:tblLayout w:type="fixed"/>
        <w:tblCellMar>
          <w:top w:type="dxa" w:w="0"/>
          <w:left w:type="dxa" w:w="68"/>
          <w:bottom w:type="dxa" w:w="0"/>
          <w:right w:type="dxa" w:w="108"/>
        </w:tblCellMar>
      </w:tblPr>
      <w:tblGrid>
        <w:gridCol w:w="1048"/>
        <w:gridCol w:w="7172"/>
        <w:gridCol w:w="1780"/>
      </w:tblGrid>
      <w:t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D000000">
            <w:pPr>
              <w:pStyle w:val="Style_1"/>
              <w:widowControl w:val="0"/>
              <w:spacing w:line="0" w:lineRule="atLeast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E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Наименование мероприятия и показателя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BF00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Единица измерения</w:t>
            </w:r>
          </w:p>
        </w:tc>
      </w:tr>
      <w:t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0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1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2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rPr>
          <w:trHeight w:hRule="atLeast" w:val="533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3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4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Мероприятие 1.001</w:t>
            </w:r>
          </w:p>
          <w:p w14:paraId="C5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Организация и проведение мероприятий, посвященных Дням воинской славы России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6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700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8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C9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молодых граждан, принявших участие в мероприятиях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A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B00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C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2</w:t>
            </w:r>
          </w:p>
          <w:p w14:paraId="CD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Численность  молодёжи, задействованной в мероприятиях по вовлечению в творческую деятельность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E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CF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D0000000">
            <w:pPr>
              <w:pStyle w:val="Style_9"/>
              <w:widowControl w:val="0"/>
              <w:spacing w:line="0" w:lineRule="atLeast"/>
              <w:ind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Административное мероприятие 1.002</w:t>
            </w:r>
          </w:p>
          <w:p w14:paraId="D1000000">
            <w:pPr>
              <w:pStyle w:val="Style_9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«Организация и проведение мероприятий по вовлечению в творческую деятельность»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2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655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300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D4000000">
            <w:pPr>
              <w:pStyle w:val="Style_9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D5000000">
            <w:pPr>
              <w:pStyle w:val="Style_9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молодёжи, вовлеченной в творческую деятельность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6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192"/>
        </w:trPr>
        <w:tc>
          <w:tcPr>
            <w:tcW w:type="dxa" w:w="1048"/>
            <w:tcBorders>
              <w:top w:color="00008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7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type="dxa" w:w="7172"/>
            <w:tcBorders>
              <w:top w:color="00008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8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1.003</w:t>
            </w:r>
          </w:p>
          <w:p w14:paraId="D9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Участие в форуме «Молодёжь Верхневолжья»</w:t>
            </w:r>
          </w:p>
        </w:tc>
        <w:tc>
          <w:tcPr>
            <w:tcW w:type="dxa" w:w="1780"/>
            <w:tcBorders>
              <w:top w:color="00008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A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558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B00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C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DD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участников форума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E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230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DF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E0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Мероприятие 1.003</w:t>
            </w:r>
          </w:p>
          <w:p w14:paraId="E1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Проведение мероприятий по благоустройству воинских захоронений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E2000000">
            <w:pPr>
              <w:pStyle w:val="Style_10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hRule="atLeast" w:val="521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300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E4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E5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Доля благоустроенных воинских захоронений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E6000000">
            <w:pPr>
              <w:pStyle w:val="Style_10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</w:tr>
      <w:tr>
        <w:trPr>
          <w:trHeight w:hRule="atLeast" w:val="521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7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E8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2.001</w:t>
            </w:r>
          </w:p>
          <w:p w14:paraId="E9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Организация  деятельности детских и молодёжных общественных объединений на базе общеобразовательных организаций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EA000000">
            <w:pPr>
              <w:pStyle w:val="Style_10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521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B00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EC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ED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обучающихся, вовлечённых в деятельность общественных объединений на базе общеобразовательной организации общего образования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EE000000">
            <w:pPr>
              <w:pStyle w:val="Style_10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588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EF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0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Мероприятие 2.002</w:t>
            </w:r>
          </w:p>
          <w:p w14:paraId="F1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Организация  деятельности молодежного Совета Сандовского муниципального округа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2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hRule="atLeast" w:val="55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300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F4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 1</w:t>
            </w:r>
          </w:p>
          <w:p w14:paraId="F5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заседаний молодежного Совета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  <w:vAlign w:val="center"/>
          </w:tcPr>
          <w:p w14:paraId="F6000000">
            <w:pPr>
              <w:pStyle w:val="Style_10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7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8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 2.003</w:t>
            </w:r>
          </w:p>
          <w:p w14:paraId="F900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Проведение   мероприятий в сфере развития добровольчества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A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B00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C00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FD00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Численность обучающихся, вовлечённых в деятельность общественных объединений, в т. ч. волонтёрских и добровольческих</w:t>
            </w:r>
          </w:p>
        </w:tc>
        <w:tc>
          <w:tcPr>
            <w:tcW w:type="dxa" w:w="178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E00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FF00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001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Показатель 2</w:t>
            </w:r>
          </w:p>
          <w:p w14:paraId="0101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Доля обучающихся, вовлечённых в деятельность общественных объединений, в т. ч. волонтёрских и добровольческих</w:t>
            </w:r>
          </w:p>
        </w:tc>
        <w:tc>
          <w:tcPr>
            <w:tcW w:type="dxa" w:w="178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2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процент</w:t>
            </w:r>
          </w:p>
        </w:tc>
      </w:tr>
      <w:tr>
        <w:trPr>
          <w:trHeight w:hRule="atLeast" w:val="709"/>
        </w:trPr>
        <w:tc>
          <w:tcPr>
            <w:tcW w:type="dxa" w:w="1048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3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4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3</w:t>
            </w:r>
          </w:p>
          <w:p w14:paraId="05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«Количество граждан, вовлечённых в добровольческую деятельность»</w:t>
            </w:r>
          </w:p>
        </w:tc>
        <w:tc>
          <w:tcPr>
            <w:tcW w:type="dxa" w:w="1780"/>
            <w:tcBorders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6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  <w:p w14:paraId="0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192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8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9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мероприятие 2.004</w:t>
            </w:r>
          </w:p>
          <w:p w14:paraId="0A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Ведение  реестра детских и молодежных общественных объединений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B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216"/>
        </w:trPr>
        <w:tc>
          <w:tcPr>
            <w:tcW w:type="dxa" w:w="1048"/>
            <w:tcBorders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C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D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0E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Число зарегистрированных детских и молодежных общественных объединений</w:t>
            </w:r>
          </w:p>
        </w:tc>
        <w:tc>
          <w:tcPr>
            <w:tcW w:type="dxa" w:w="1780"/>
            <w:tcBorders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0F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</w:tr>
      <w:tr>
        <w:trPr>
          <w:trHeight w:hRule="atLeast" w:val="216"/>
        </w:trPr>
        <w:tc>
          <w:tcPr>
            <w:tcW w:type="dxa" w:w="1048"/>
            <w:tcBorders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0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type="dxa" w:w="7172"/>
            <w:tcBorders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1010000">
            <w:pPr>
              <w:pStyle w:val="Style_1"/>
              <w:widowControl w:val="0"/>
              <w:spacing w:line="0" w:lineRule="atLeast"/>
              <w:ind w:firstLine="0" w:left="0"/>
              <w:jc w:val="both"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Административное мероприятие 2.005. «Информирование молодёжи в части безопасного поведения, действий в чрезвычайных ситуациях»</w:t>
            </w:r>
          </w:p>
        </w:tc>
        <w:tc>
          <w:tcPr>
            <w:tcW w:type="dxa" w:w="1780"/>
            <w:tcBorders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2010000">
            <w:pPr>
              <w:pStyle w:val="Style_1"/>
              <w:widowControl w:val="0"/>
              <w:spacing w:line="0" w:lineRule="atLeast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да/нет</w:t>
            </w:r>
          </w:p>
        </w:tc>
      </w:tr>
      <w:tr>
        <w:trPr>
          <w:trHeight w:hRule="atLeast" w:val="216"/>
        </w:trPr>
        <w:tc>
          <w:tcPr>
            <w:tcW w:type="dxa" w:w="1048"/>
            <w:tcBorders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3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4010000">
            <w:pPr>
              <w:pStyle w:val="Style_1"/>
              <w:widowControl w:val="0"/>
              <w:spacing w:line="0" w:lineRule="atLeast"/>
              <w:ind/>
              <w:rPr>
                <w:sz w:val="21"/>
              </w:rPr>
            </w:pPr>
            <w:r>
              <w:rPr>
                <w:sz w:val="21"/>
              </w:rPr>
              <w:t xml:space="preserve">Доля молодёжи, информированной в части </w:t>
            </w:r>
            <w:r>
              <w:rPr>
                <w:rFonts w:ascii="Times New Roman" w:hAnsi="Times New Roman"/>
                <w:sz w:val="21"/>
              </w:rPr>
              <w:t>безопасного поведения, действий в чрезвычайных ситуациях»</w:t>
            </w:r>
          </w:p>
        </w:tc>
        <w:tc>
          <w:tcPr>
            <w:tcW w:type="dxa" w:w="1780"/>
            <w:tcBorders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5010000">
            <w:pPr>
              <w:pStyle w:val="Style_1"/>
              <w:widowControl w:val="0"/>
              <w:spacing w:line="0" w:lineRule="atLeast"/>
              <w:ind/>
              <w:jc w:val="center"/>
              <w:rPr>
                <w:sz w:val="21"/>
              </w:rPr>
            </w:pPr>
            <w:r>
              <w:rPr>
                <w:sz w:val="21"/>
              </w:rPr>
              <w:t>процент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7010000">
            <w:pPr>
              <w:pStyle w:val="Style_1"/>
              <w:widowControl w:val="0"/>
              <w:spacing w:line="0" w:lineRule="atLeast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Мероприятие 3.001</w:t>
            </w:r>
          </w:p>
          <w:p w14:paraId="18010000">
            <w:pPr>
              <w:pStyle w:val="Style_1"/>
              <w:widowControl w:val="0"/>
              <w:spacing w:line="0" w:lineRule="atLeast"/>
              <w:ind/>
              <w:rPr>
                <w:sz w:val="21"/>
              </w:rPr>
            </w:pPr>
            <w:r>
              <w:rPr>
                <w:rFonts w:ascii="Times New Roman" w:hAnsi="Times New Roman"/>
                <w:sz w:val="21"/>
              </w:rPr>
              <w:t>Участие в региональном фестивале работающей молодёжи Тверской области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9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Тыс. руб.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A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B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1C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участников фестиваля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D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E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3.2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1F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Административное  мероприятие 3.002</w:t>
            </w:r>
          </w:p>
          <w:p w14:paraId="20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Проведение молодежных   мероприятий, направленных на формирование здорового образа жизни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1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2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3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24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участников молодежных мероприятий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5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3.3</w:t>
            </w: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701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Административное мероприятие 3.003</w:t>
            </w:r>
          </w:p>
          <w:p w14:paraId="28010000">
            <w:pPr>
              <w:pStyle w:val="Style_1"/>
              <w:widowControl w:val="0"/>
              <w:spacing w:line="0" w:lineRule="atLeast"/>
              <w:ind/>
              <w:jc w:val="both"/>
            </w:pPr>
            <w:r>
              <w:rPr>
                <w:rFonts w:ascii="Times New Roman" w:hAnsi="Times New Roman"/>
                <w:sz w:val="20"/>
              </w:rPr>
              <w:t>Информационное сопровождение  молодежной политики в Сандовском муниципальном округе через газету «Сандовские вести»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9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Да/нет</w:t>
            </w:r>
          </w:p>
        </w:tc>
      </w:tr>
      <w:tr>
        <w:trPr>
          <w:trHeight w:hRule="atLeast" w:val="144"/>
        </w:trPr>
        <w:tc>
          <w:tcPr>
            <w:tcW w:type="dxa" w:w="1048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A010000">
            <w:pPr>
              <w:pStyle w:val="Style_1"/>
              <w:widowControl w:val="0"/>
              <w:spacing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2"/>
            <w:tcBorders>
              <w:top w:color="000000" w:sz="4" w:val="single"/>
              <w:left w:color="000080" w:sz="4" w:val="single"/>
              <w:bottom w:color="00000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B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Показатель 1</w:t>
            </w:r>
          </w:p>
          <w:p w14:paraId="2C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Количество публикаций</w:t>
            </w:r>
          </w:p>
        </w:tc>
        <w:tc>
          <w:tcPr>
            <w:tcW w:type="dxa" w:w="1780"/>
            <w:tcBorders>
              <w:top w:color="000000" w:sz="4" w:val="single"/>
              <w:left w:color="000080" w:sz="4" w:val="single"/>
              <w:bottom w:color="000000" w:sz="4" w:val="single"/>
              <w:right w:color="000080" w:sz="4" w:val="single"/>
            </w:tcBorders>
            <w:shd w:fill="FFFFFF" w:val="clear"/>
            <w:tcMar>
              <w:top w:type="dxa" w:w="0"/>
              <w:left w:type="dxa" w:w="68"/>
              <w:bottom w:type="dxa" w:w="0"/>
              <w:right w:type="dxa" w:w="108"/>
            </w:tcMar>
          </w:tcPr>
          <w:p w14:paraId="2D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единиц</w:t>
            </w:r>
          </w:p>
        </w:tc>
      </w:tr>
    </w:tbl>
    <w:p w14:paraId="2E010000">
      <w:pPr>
        <w:pStyle w:val="Style_1"/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2F010000">
      <w:pPr>
        <w:pStyle w:val="Style_1"/>
        <w:spacing w:line="0" w:lineRule="atLeast"/>
        <w:ind/>
      </w:pPr>
      <w:r>
        <w:rPr>
          <w:rStyle w:val="Style_8_ch"/>
          <w:rFonts w:ascii="Times New Roman" w:hAnsi="Times New Roman"/>
          <w:b w:val="0"/>
          <w:sz w:val="20"/>
        </w:rPr>
        <w:tab/>
      </w:r>
      <w:r>
        <w:rPr>
          <w:rStyle w:val="Style_8_ch"/>
          <w:rFonts w:ascii="Times New Roman" w:hAnsi="Times New Roman"/>
          <w:b w:val="0"/>
          <w:sz w:val="20"/>
        </w:rPr>
        <w:t xml:space="preserve">       </w:t>
      </w:r>
      <w:r>
        <w:rPr>
          <w:rFonts w:ascii="Times New Roman" w:hAnsi="Times New Roman"/>
          <w:b w:val="1"/>
          <w:sz w:val="20"/>
        </w:rPr>
        <w:t>Глава 3. Объем финансовых ресурсов, необходимый для реализации подпрограммы</w:t>
      </w:r>
    </w:p>
    <w:p w14:paraId="30010000">
      <w:pPr>
        <w:pStyle w:val="Style_1"/>
        <w:spacing w:line="0" w:lineRule="atLeast"/>
        <w:ind/>
        <w:jc w:val="center"/>
        <w:rPr>
          <w:rFonts w:ascii="Times New Roman" w:hAnsi="Times New Roman"/>
          <w:b w:val="1"/>
          <w:sz w:val="20"/>
        </w:rPr>
      </w:pPr>
    </w:p>
    <w:p w14:paraId="31010000">
      <w:pPr>
        <w:pStyle w:val="Style_1"/>
        <w:spacing w:line="0" w:lineRule="atLeast"/>
        <w:ind w:firstLine="54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Общий объем бюджетных ассигнований, выделенный на реализацию подпрограммы  «Создание условий для вовлечения молодежи в общественно-политическую, социально-экономическую и культурную жизнь общества» - </w:t>
      </w:r>
      <w:r>
        <w:rPr>
          <w:rFonts w:ascii="Times New Roman" w:hAnsi="Times New Roman"/>
          <w:b w:val="1"/>
          <w:sz w:val="20"/>
        </w:rPr>
        <w:t>30 000 рублей</w:t>
      </w:r>
      <w:r>
        <w:rPr>
          <w:rFonts w:ascii="Times New Roman" w:hAnsi="Times New Roman"/>
          <w:sz w:val="20"/>
        </w:rPr>
        <w:t xml:space="preserve">   по годам реализации  программы в разрезе задач приведен в таблице 1.</w:t>
      </w:r>
    </w:p>
    <w:p w14:paraId="32010000">
      <w:pPr>
        <w:pStyle w:val="Style_1"/>
        <w:spacing w:line="0" w:lineRule="atLeast"/>
        <w:ind/>
        <w:jc w:val="right"/>
      </w:pPr>
      <w:r>
        <w:rPr>
          <w:rFonts w:ascii="Times New Roman" w:hAnsi="Times New Roman"/>
          <w:sz w:val="20"/>
        </w:rPr>
        <w:t>Таблица 2</w:t>
      </w:r>
    </w:p>
    <w:tbl>
      <w:tblPr>
        <w:tblStyle w:val="Style_5"/>
        <w:tblInd w:type="dxa" w:w="109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134"/>
        <w:gridCol w:w="1141"/>
        <w:gridCol w:w="1184"/>
        <w:gridCol w:w="1173"/>
        <w:gridCol w:w="1152"/>
        <w:gridCol w:w="1128"/>
        <w:gridCol w:w="1057"/>
      </w:tblGrid>
      <w:tr>
        <w:trPr>
          <w:trHeight w:hRule="atLeast" w:val="520"/>
        </w:trPr>
        <w:tc>
          <w:tcPr>
            <w:tcW w:type="dxa" w:w="3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Задача подпрограммы</w:t>
            </w:r>
          </w:p>
        </w:tc>
        <w:tc>
          <w:tcPr>
            <w:tcW w:type="dxa" w:w="6835"/>
            <w:gridSpan w:val="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Финансовые ресурсы,</w:t>
            </w:r>
          </w:p>
          <w:p w14:paraId="35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необходимые для реализации подпрограммы 1 «Патриотическое и гражданское воспитание молодых граждан»</w:t>
            </w:r>
          </w:p>
          <w:p w14:paraId="3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(в тыс. руб.)</w:t>
            </w:r>
          </w:p>
        </w:tc>
      </w:tr>
      <w:tr>
        <w:trPr>
          <w:trHeight w:hRule="atLeast" w:val="520"/>
        </w:trPr>
        <w:tc>
          <w:tcPr>
            <w:tcW w:type="dxa" w:w="3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2021 год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2022 год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2023 год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2024 год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2025 год</w:t>
            </w:r>
          </w:p>
        </w:tc>
        <w:tc>
          <w:tcPr>
            <w:tcW w:type="dxa" w:w="1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2026 год</w:t>
            </w:r>
          </w:p>
        </w:tc>
      </w:tr>
      <w:tr>
        <w:trPr>
          <w:trHeight w:hRule="atLeast" w:val="520"/>
        </w:trPr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Задача 1 «Содействие развитию гражданско-патриотического и духовно-нравственного воспитания молодежи»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  <w:tr>
        <w:trPr>
          <w:trHeight w:hRule="atLeast" w:val="520"/>
        </w:trPr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Задача 2</w:t>
            </w:r>
          </w:p>
          <w:p w14:paraId="45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«Поддержка общественно значимых молодежных инициатив и деятельности детских и молодежных общественных объединений»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20"/>
        </w:trPr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Задача  3</w:t>
            </w:r>
          </w:p>
          <w:p w14:paraId="4D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520"/>
        </w:trPr>
        <w:tc>
          <w:tcPr>
            <w:tcW w:type="dxa" w:w="313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pStyle w:val="Style_1"/>
              <w:widowControl w:val="0"/>
              <w:spacing w:line="0" w:lineRule="atLeast"/>
              <w:ind/>
            </w:pPr>
            <w:r>
              <w:rPr>
                <w:rFonts w:ascii="Times New Roman" w:hAnsi="Times New Roman"/>
                <w:sz w:val="20"/>
              </w:rPr>
              <w:t>ИТОГО</w:t>
            </w:r>
          </w:p>
        </w:tc>
        <w:tc>
          <w:tcPr>
            <w:tcW w:type="dxa" w:w="1141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84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73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5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128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  <w:tc>
          <w:tcPr>
            <w:tcW w:type="dxa" w:w="10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10000">
            <w:pPr>
              <w:pStyle w:val="Style_1"/>
              <w:widowControl w:val="0"/>
              <w:spacing w:line="0" w:lineRule="atLeast"/>
              <w:ind/>
              <w:jc w:val="center"/>
            </w:pPr>
            <w:r>
              <w:rPr>
                <w:rFonts w:ascii="Times New Roman" w:hAnsi="Times New Roman"/>
                <w:sz w:val="20"/>
              </w:rPr>
              <w:t>30,0</w:t>
            </w:r>
          </w:p>
        </w:tc>
      </w:tr>
    </w:tbl>
    <w:p w14:paraId="5B010000">
      <w:pPr>
        <w:pStyle w:val="Style_1"/>
        <w:spacing w:line="0" w:lineRule="atLeast"/>
        <w:ind/>
        <w:jc w:val="center"/>
        <w:rPr>
          <w:rFonts w:ascii="Times New Roman" w:hAnsi="Times New Roman"/>
          <w:sz w:val="20"/>
        </w:rPr>
      </w:pPr>
    </w:p>
    <w:p w14:paraId="5C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Раздел IV</w:t>
      </w:r>
    </w:p>
    <w:p w14:paraId="5D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Обеспечивающая подпрограмма</w:t>
      </w:r>
    </w:p>
    <w:p w14:paraId="5E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Подраздел I.   Меры муниципального регулирования</w:t>
      </w:r>
    </w:p>
    <w:p w14:paraId="5F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Меры муниципального регулирования в сфере реализации программы не предусмотрены.</w:t>
      </w:r>
    </w:p>
    <w:p w14:paraId="60010000">
      <w:pPr>
        <w:pStyle w:val="Style_1"/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6101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b w:val="1"/>
          <w:sz w:val="20"/>
        </w:rPr>
        <w:t xml:space="preserve">       </w:t>
      </w:r>
      <w:r>
        <w:rPr>
          <w:rFonts w:ascii="Times New Roman" w:hAnsi="Times New Roman"/>
          <w:b w:val="1"/>
          <w:sz w:val="20"/>
        </w:rPr>
        <w:t>Подраздел II. Меры  муниципального управления муниципальной  собственностью  Сандовского  муниципального округа</w:t>
      </w:r>
      <w:r>
        <w:rPr>
          <w:rFonts w:ascii="Times New Roman" w:hAnsi="Times New Roman"/>
          <w:sz w:val="20"/>
        </w:rPr>
        <w:t>.</w:t>
      </w:r>
    </w:p>
    <w:p w14:paraId="62010000">
      <w:pPr>
        <w:pStyle w:val="Style_1"/>
        <w:spacing w:line="0" w:lineRule="atLeast"/>
        <w:ind/>
        <w:jc w:val="both"/>
      </w:pPr>
      <w:r>
        <w:rPr>
          <w:rFonts w:ascii="Times New Roman" w:hAnsi="Times New Roman"/>
          <w:sz w:val="20"/>
        </w:rPr>
        <w:t>Меры муниципального управления муниципальной собственностью Сандовского муниципального округа в программе не предусмотрены.</w:t>
      </w:r>
    </w:p>
    <w:p w14:paraId="63010000">
      <w:pPr>
        <w:pStyle w:val="Style_1"/>
        <w:spacing w:line="0" w:lineRule="atLeast"/>
        <w:ind/>
        <w:jc w:val="both"/>
        <w:rPr>
          <w:rFonts w:ascii="Times New Roman" w:hAnsi="Times New Roman"/>
          <w:sz w:val="20"/>
        </w:rPr>
      </w:pPr>
    </w:p>
    <w:p w14:paraId="64010000">
      <w:pPr>
        <w:pStyle w:val="Style_1"/>
        <w:spacing w:line="0" w:lineRule="atLeast"/>
        <w:ind w:firstLine="720"/>
      </w:pPr>
      <w:r>
        <w:rPr>
          <w:rFonts w:ascii="Times New Roman" w:hAnsi="Times New Roman"/>
          <w:b w:val="1"/>
          <w:sz w:val="20"/>
        </w:rPr>
        <w:t xml:space="preserve">            </w:t>
      </w:r>
      <w:r>
        <w:rPr>
          <w:rFonts w:ascii="Times New Roman" w:hAnsi="Times New Roman"/>
          <w:b w:val="1"/>
          <w:sz w:val="20"/>
        </w:rPr>
        <w:t>Подраздел III. Обеспечение деятельности администратора программы.</w:t>
      </w:r>
    </w:p>
    <w:p w14:paraId="65010000">
      <w:pPr>
        <w:pStyle w:val="Style_1"/>
        <w:spacing w:line="0" w:lineRule="atLeast"/>
        <w:ind w:firstLine="720"/>
      </w:pPr>
      <w:r>
        <w:rPr>
          <w:rFonts w:ascii="Times New Roman" w:hAnsi="Times New Roman"/>
          <w:sz w:val="20"/>
        </w:rPr>
        <w:t>Обеспечение  деятельности  администратора  программы  в  программе  не  предусмотрено.</w:t>
      </w:r>
    </w:p>
    <w:p w14:paraId="66010000">
      <w:pPr>
        <w:pStyle w:val="Style_1"/>
        <w:spacing w:line="0" w:lineRule="atLeast"/>
        <w:ind w:firstLine="720"/>
        <w:rPr>
          <w:rFonts w:ascii="Times New Roman" w:hAnsi="Times New Roman"/>
          <w:sz w:val="20"/>
        </w:rPr>
      </w:pPr>
    </w:p>
    <w:p w14:paraId="67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b w:val="1"/>
          <w:sz w:val="20"/>
        </w:rPr>
        <w:t>Раздел V</w:t>
      </w:r>
    </w:p>
    <w:p w14:paraId="68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Механизм управления и мониторинга реализации   программы</w:t>
      </w:r>
    </w:p>
    <w:p w14:paraId="69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Организация управления реализацией программы, а также контроль за ходом её выполнения осуществляется администрацией Сандовского  муниципального округа в течение периода, на который она разработана.</w:t>
      </w:r>
    </w:p>
    <w:p w14:paraId="6A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Механизм реализации программы включает в себя нормативные правовые акты, формирующие комплексную систему законодательного и организационно-правового сопровождения выполнения мероприятий программы.</w:t>
      </w:r>
    </w:p>
    <w:p w14:paraId="6B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Программа реализуется путём:</w:t>
      </w:r>
    </w:p>
    <w:p w14:paraId="6C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 принятия необходимых распоряжений, постановлений, приказов;</w:t>
      </w:r>
    </w:p>
    <w:p w14:paraId="6D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-организация работы по реализации запланированных в программе мероприятий;</w:t>
      </w:r>
    </w:p>
    <w:p w14:paraId="6E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-заключения договоров, соглашений;</w:t>
      </w:r>
    </w:p>
    <w:p w14:paraId="6F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-подготовки информации и отчётов по реализации программы.</w:t>
      </w:r>
    </w:p>
    <w:p w14:paraId="70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Управление реализацией программы предусматривает организацию выполнения мероприятий программы исполнителями программы в соответствии с утверждёнными ежегодными планами мероприятий по реализации программы. </w:t>
      </w:r>
    </w:p>
    <w:p w14:paraId="71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Ежегодная корректировка программных мероприятий в рамках основных направлений государственной молодежной политики позволит гибко реагировать на возникающие проблемы и инициативы молодежи.</w:t>
      </w:r>
    </w:p>
    <w:p w14:paraId="72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Источниками ресурсного обеспечения муниципальной программы  являются муниципальный бюджет округа, областной бюджет (целевое финансирование); дополнительное финансирование, в том числе и внебюджетное.</w:t>
      </w:r>
    </w:p>
    <w:p w14:paraId="73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Внесение изменений в программу утверждается постановлением Главы Сандовского муниципального округа.</w:t>
      </w:r>
    </w:p>
    <w:p w14:paraId="74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Ежегодный  мониторинг реализации программы осуществляется путём составления Отчёта о реализации программы за отчётный год.</w:t>
      </w:r>
    </w:p>
    <w:p w14:paraId="75010000">
      <w:pPr>
        <w:pStyle w:val="Style_1"/>
        <w:spacing w:line="0" w:lineRule="atLeast"/>
        <w:ind/>
        <w:jc w:val="both"/>
        <w:rPr>
          <w:rFonts w:ascii="Times New Roman" w:hAnsi="Times New Roman"/>
          <w:b w:val="1"/>
          <w:sz w:val="20"/>
        </w:rPr>
      </w:pPr>
    </w:p>
    <w:p w14:paraId="76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b w:val="1"/>
          <w:sz w:val="20"/>
        </w:rPr>
        <w:t xml:space="preserve">                                                                    </w:t>
      </w:r>
      <w:r>
        <w:rPr>
          <w:rFonts w:ascii="Times New Roman" w:hAnsi="Times New Roman"/>
          <w:b w:val="1"/>
          <w:sz w:val="20"/>
        </w:rPr>
        <w:t xml:space="preserve">Раздел VI. </w:t>
      </w:r>
    </w:p>
    <w:p w14:paraId="77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b w:val="1"/>
          <w:sz w:val="20"/>
        </w:rPr>
        <w:t xml:space="preserve"> </w:t>
      </w:r>
      <w:r>
        <w:rPr>
          <w:rFonts w:ascii="Times New Roman" w:hAnsi="Times New Roman"/>
          <w:b w:val="1"/>
          <w:sz w:val="20"/>
        </w:rPr>
        <w:t>Ожидаемые результаты и оценка эффективности реализации программы.</w:t>
      </w:r>
    </w:p>
    <w:p w14:paraId="78010000">
      <w:pPr>
        <w:pStyle w:val="Style_1"/>
        <w:spacing w:line="0" w:lineRule="atLeast"/>
        <w:ind w:firstLine="708"/>
        <w:jc w:val="both"/>
      </w:pPr>
      <w:r>
        <w:rPr>
          <w:rFonts w:ascii="Times New Roman" w:hAnsi="Times New Roman"/>
          <w:sz w:val="20"/>
        </w:rPr>
        <w:t>Основными прогнозируемыми    результатами   реализации муниципальной программы, которые будут достигнуты в ходе и по итогам осуществления программных мероприятий, будут являться:</w:t>
      </w:r>
    </w:p>
    <w:p w14:paraId="79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Защита конституционных прав и свобод, обеспечение социальных гарантий и социальной помощи несовершеннолетним и молодым гражданам; </w:t>
      </w:r>
    </w:p>
    <w:p w14:paraId="7A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Достижение сбалансированных интересов органов местного самоуправления  и молодежи путем координации и регулирования приоритетных направлений развития молодежной политики в Сандовском районе; </w:t>
      </w:r>
    </w:p>
    <w:p w14:paraId="7B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Содействие укреплению здоровья подростков и молодых граждан; </w:t>
      </w:r>
    </w:p>
    <w:p w14:paraId="7C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Повышение уровня деловой активности молодежи; </w:t>
      </w:r>
    </w:p>
    <w:p w14:paraId="7D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Повышение уровня самоорганизации подростков и молодых граждан, развитие детского и молодежного движения в районе на единой организационной основе; </w:t>
      </w:r>
    </w:p>
    <w:p w14:paraId="7E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Осуществление системного мониторинга молодежной среды, процессов и явлений, происходящих в ней; </w:t>
      </w:r>
    </w:p>
    <w:p w14:paraId="7F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Снижение уровня асоциального поведения подростков и молодых граждан; </w:t>
      </w:r>
    </w:p>
    <w:p w14:paraId="80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Развитие интеллектуального и творческого потенциала молодежи; </w:t>
      </w:r>
    </w:p>
    <w:p w14:paraId="81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Развитие и укрепление нормативно-правового обеспечения молодежной политики; </w:t>
      </w:r>
    </w:p>
    <w:p w14:paraId="82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Формирование информационно-аналитического обеспечения развития молодежной политики; </w:t>
      </w:r>
    </w:p>
    <w:p w14:paraId="83010000">
      <w:pPr>
        <w:pStyle w:val="Style_1"/>
        <w:numPr>
          <w:ilvl w:val="0"/>
          <w:numId w:val="1"/>
        </w:numPr>
        <w:spacing w:line="0" w:lineRule="atLeast"/>
        <w:ind/>
        <w:jc w:val="both"/>
      </w:pPr>
      <w:r>
        <w:rPr>
          <w:rFonts w:ascii="Times New Roman" w:hAnsi="Times New Roman"/>
          <w:sz w:val="20"/>
        </w:rPr>
        <w:t>Обеспечение интеграции молодежи в трудовую, культурную и творческую жизнь района на благо его социально-экономического развития, в том числе и в социально-политической сфере.</w:t>
      </w:r>
    </w:p>
    <w:p w14:paraId="84010000">
      <w:pPr>
        <w:pStyle w:val="Style_1"/>
        <w:spacing w:line="0" w:lineRule="atLeast"/>
        <w:ind w:firstLine="0" w:left="1080"/>
        <w:jc w:val="both"/>
        <w:rPr>
          <w:rFonts w:ascii="Times New Roman" w:hAnsi="Times New Roman"/>
          <w:sz w:val="20"/>
        </w:rPr>
      </w:pPr>
    </w:p>
    <w:p w14:paraId="85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Раздел VII</w:t>
      </w:r>
    </w:p>
    <w:p w14:paraId="86010000">
      <w:pPr>
        <w:pStyle w:val="Style_1"/>
        <w:spacing w:line="0" w:lineRule="atLeast"/>
        <w:ind/>
        <w:jc w:val="center"/>
      </w:pPr>
      <w:r>
        <w:rPr>
          <w:rFonts w:ascii="Times New Roman" w:hAnsi="Times New Roman"/>
          <w:b w:val="1"/>
          <w:sz w:val="20"/>
        </w:rPr>
        <w:t>Анализ рисков реализации  программы  и меры по управлению рисками</w:t>
      </w:r>
    </w:p>
    <w:p w14:paraId="87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В процессе реализации  программы могут проявиться внутренние и внешние риски. К числу внутренних рисков реализации  программы в целом относятся:</w:t>
      </w:r>
    </w:p>
    <w:p w14:paraId="88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1.недостаточность объективной информации о реальных проблемах молодежи, их объемах и остроте, вызванная их различной оценкой представителями молодежных групп и работников сферы молодежной политики, что может способствовать снижению у молодежи  доверия к мерам государственной поддержки;</w:t>
      </w:r>
    </w:p>
    <w:p w14:paraId="89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2.применение устаревших методик и подходов как на уровне планирования молодежных мероприятий, так и на уровне их реализации;</w:t>
      </w:r>
    </w:p>
    <w:p w14:paraId="8A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 xml:space="preserve">3.угроза превалирования методов контроля и принуждения в молодежной среде, что приводит к снижению эффективности работы; </w:t>
      </w:r>
    </w:p>
    <w:p w14:paraId="8B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4. недостаточный уровень практического опыта и квалификации работников учреждений сферы молодежной политики;</w:t>
      </w:r>
    </w:p>
    <w:p w14:paraId="8C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5. низкая информированность молодежной аудитории о реализации Программы в виду невысокого уровня доверия к официальным и печатным средствам массовой информации в молодежной среде, что может привести к сокращению базы участников мероприятий государственной программы;</w:t>
      </w:r>
    </w:p>
    <w:p w14:paraId="8D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6.слабое участие в реализации государственной программы отдельных молодежных общественных организаций по причине  пассивного, потребительского отношения к сотрудничеству с органами власти, что снижет эффективность взаимодействия с институтами гражданского общества.</w:t>
      </w:r>
    </w:p>
    <w:p w14:paraId="8E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Для снижения вероятности неблагоприятного воздействия  внутренних рисков планируется:</w:t>
      </w:r>
    </w:p>
    <w:p w14:paraId="8F01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осуществление постоянного мониторинга положения дел в молодежной среде, распространение информации о реальных потребностях и интересах молодежи среди работников сферы молодежной политики,  реализующих мероприятия в рамках программы;</w:t>
      </w:r>
    </w:p>
    <w:p w14:paraId="9001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б) активное привлечение молодежи к обсуждению и планированию мер молодежной политики, реализуемых в рамках  программы, а также к оценке ее результативности и эффективности;</w:t>
      </w:r>
    </w:p>
    <w:p w14:paraId="9101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в) обмен опытом с органами, реализующими   молодежную политику, оперативное внедрение новых методов работы в молодежной среде;  </w:t>
      </w:r>
    </w:p>
    <w:p w14:paraId="92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г) обеспечение  информационного сопровождения  программы в средствах массовой информации ;</w:t>
      </w:r>
    </w:p>
    <w:p w14:paraId="93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д)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повышение квалификации сотрудников сферы молодежной политики; </w:t>
      </w:r>
    </w:p>
    <w:p w14:paraId="94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К числу внешних рисков реализации государственной программы в целом относятся:</w:t>
      </w:r>
    </w:p>
    <w:p w14:paraId="95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1. изменение федерального законодательства в части перераспределения полномочий между Российской Федерации, субъектами Российской Федерации и муниципальными образованиями;</w:t>
      </w:r>
    </w:p>
    <w:p w14:paraId="96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2.отсутствие единой нормативно-правовой базы в сфере государственной молодежной политики на федеральном уровне;</w:t>
      </w:r>
    </w:p>
    <w:p w14:paraId="97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3. естественная убыль молодого населения;</w:t>
      </w:r>
    </w:p>
    <w:p w14:paraId="98010000">
      <w:pPr>
        <w:pStyle w:val="Style_1"/>
        <w:tabs>
          <w:tab w:leader="none" w:pos="709" w:val="clear"/>
          <w:tab w:leader="none" w:pos="993" w:val="left"/>
        </w:tabs>
        <w:spacing w:line="0" w:lineRule="atLeast"/>
        <w:ind/>
        <w:jc w:val="both"/>
      </w:pPr>
      <w:r>
        <w:rPr>
          <w:rFonts w:ascii="Times New Roman" w:hAnsi="Times New Roman"/>
          <w:sz w:val="20"/>
        </w:rPr>
        <w:t>4. выезд части талантливой молодежи за пределы Сандовского муниципального округа;</w:t>
      </w:r>
    </w:p>
    <w:p w14:paraId="99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Для снижения вероятности неблагоприятного воздействия внешних  рисков планируется:</w:t>
      </w:r>
    </w:p>
    <w:p w14:paraId="9A010000">
      <w:pPr>
        <w:pStyle w:val="Style_1"/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>а) осуществление постоянного мониторинга  законодательства субъекта в сфере государственной молодежной политики;</w:t>
      </w:r>
    </w:p>
    <w:p w14:paraId="9B01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</w:pPr>
      <w:r>
        <w:rPr>
          <w:rFonts w:ascii="Times New Roman" w:hAnsi="Times New Roman"/>
          <w:sz w:val="20"/>
        </w:rPr>
        <w:t xml:space="preserve">б) оперативное реагирование на изменения законодательства субъекта;                </w:t>
      </w:r>
    </w:p>
    <w:p w14:paraId="9C010000">
      <w:pPr>
        <w:pStyle w:val="Style_1"/>
        <w:tabs>
          <w:tab w:leader="none" w:pos="709" w:val="clear"/>
          <w:tab w:leader="none" w:pos="1134" w:val="left"/>
        </w:tabs>
        <w:spacing w:line="0" w:lineRule="atLeast"/>
        <w:ind w:firstLine="720"/>
        <w:jc w:val="both"/>
        <w:rPr>
          <w:rFonts w:ascii="Times New Roman" w:hAnsi="Times New Roman"/>
          <w:sz w:val="20"/>
        </w:rPr>
      </w:pPr>
    </w:p>
    <w:p w14:paraId="9D010000">
      <w:pPr>
        <w:pStyle w:val="Style_1"/>
        <w:widowControl w:val="0"/>
        <w:spacing w:line="0" w:lineRule="atLeast"/>
        <w:ind/>
        <w:rPr>
          <w:rFonts w:ascii="Times New Roman" w:hAnsi="Times New Roman"/>
          <w:sz w:val="20"/>
        </w:rPr>
      </w:pPr>
    </w:p>
    <w:p w14:paraId="9E010000">
      <w:pPr>
        <w:pStyle w:val="Style_1"/>
        <w:widowControl w:val="0"/>
        <w:spacing w:line="200" w:lineRule="atLeast"/>
        <w:ind/>
      </w:pPr>
    </w:p>
    <w:p w14:paraId="9F010000">
      <w:pPr>
        <w:pStyle w:val="Style_1"/>
        <w:widowControl w:val="0"/>
        <w:spacing w:line="200" w:lineRule="atLeast"/>
        <w:ind/>
      </w:pPr>
    </w:p>
    <w:p w14:paraId="A0010000">
      <w:pPr>
        <w:pStyle w:val="Style_1"/>
        <w:widowControl w:val="0"/>
        <w:spacing w:line="200" w:lineRule="atLeast"/>
        <w:ind/>
      </w:pPr>
    </w:p>
    <w:p w14:paraId="A1010000">
      <w:pPr>
        <w:pStyle w:val="Style_1"/>
        <w:widowControl w:val="0"/>
        <w:spacing w:line="20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Управляющий делами </w:t>
      </w:r>
      <w:r>
        <w:rPr>
          <w:rFonts w:ascii="Times New Roman" w:hAnsi="Times New Roman"/>
        </w:rPr>
        <w:t xml:space="preserve">Администрации </w:t>
      </w:r>
    </w:p>
    <w:p w14:paraId="A2010000">
      <w:pPr>
        <w:pStyle w:val="Style_1"/>
        <w:widowControl w:val="0"/>
        <w:spacing w:line="200" w:lineRule="atLeast"/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Сандовского </w:t>
      </w:r>
      <w:r>
        <w:rPr>
          <w:rFonts w:ascii="Times New Roman" w:hAnsi="Times New Roman"/>
        </w:rPr>
        <w:t>муниципального округа                                                              Г. И. Горохова</w:t>
      </w:r>
    </w:p>
    <w:p w14:paraId="A3010000">
      <w:pPr>
        <w:sectPr>
          <w:type w:val="nextPage"/>
          <w:pgSz w:h="16838" w:w="11906"/>
          <w:pgMar w:bottom="255" w:footer="0" w:gutter="0" w:header="0" w:left="1155" w:right="836" w:top="284"/>
          <w:pgNumType w:fmt="decimal"/>
        </w:sectPr>
      </w:pPr>
    </w:p>
    <w:p w14:paraId="A4010000">
      <w:pPr>
        <w:pStyle w:val="Style_11"/>
        <w:spacing w:after="0" w:before="0" w:line="0" w:lineRule="atLeast"/>
        <w:ind/>
        <w:jc w:val="right"/>
      </w:pPr>
      <w:r>
        <w:rPr>
          <w:rFonts w:ascii="Times New Roman" w:hAnsi="Times New Roman"/>
          <w:sz w:val="24"/>
        </w:rPr>
        <w:t>Приложение  2</w:t>
      </w:r>
    </w:p>
    <w:p w14:paraId="A5010000">
      <w:pPr>
        <w:pStyle w:val="Style_11"/>
        <w:spacing w:after="0" w:before="0" w:line="0" w:lineRule="atLeast"/>
        <w:ind/>
        <w:jc w:val="right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A6010000">
      <w:pPr>
        <w:pStyle w:val="Style_11"/>
        <w:spacing w:after="0" w:before="0" w:line="0" w:lineRule="atLeast"/>
        <w:ind/>
        <w:jc w:val="right"/>
      </w:pPr>
      <w:r>
        <w:rPr>
          <w:rFonts w:ascii="Times New Roman" w:hAnsi="Times New Roman"/>
          <w:sz w:val="24"/>
        </w:rPr>
        <w:t xml:space="preserve">Сандовского  муниципального округа </w:t>
      </w:r>
      <w:r>
        <w:rPr>
          <w:rFonts w:ascii="Times New Roman" w:hAnsi="Times New Roman"/>
          <w:sz w:val="24"/>
        </w:rPr>
        <w:t>от 12.02.2021 г. № 59</w:t>
      </w:r>
    </w:p>
    <w:p w14:paraId="A7010000">
      <w:pPr>
        <w:pStyle w:val="Style_11"/>
        <w:spacing w:after="0" w:before="0" w:line="0" w:lineRule="atLeast"/>
        <w:ind/>
        <w:jc w:val="right"/>
      </w:pPr>
    </w:p>
    <w:p w14:paraId="A8010000">
      <w:pPr>
        <w:pStyle w:val="Style_11"/>
        <w:spacing w:after="0" w:before="0" w:line="100" w:lineRule="atLeast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Характеристика</w:t>
      </w:r>
    </w:p>
    <w:p w14:paraId="A9010000">
      <w:pPr>
        <w:pStyle w:val="Style_11"/>
        <w:spacing w:after="0" w:before="0" w:line="100" w:lineRule="atLeast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основных показателей муниципальной программы Сандовского муниципального округа Тверской области</w:t>
      </w:r>
    </w:p>
    <w:p w14:paraId="AA010000">
      <w:pPr>
        <w:pStyle w:val="Style_11"/>
        <w:spacing w:after="0" w:before="0" w:line="100" w:lineRule="atLeast"/>
        <w:ind/>
        <w:jc w:val="center"/>
        <w:rPr>
          <w:sz w:val="24"/>
        </w:rPr>
      </w:pPr>
      <w:r>
        <w:rPr>
          <w:rFonts w:ascii="Times New Roman" w:hAnsi="Times New Roman"/>
          <w:sz w:val="24"/>
        </w:rPr>
        <w:t>«Развитие молодёжной политики   Сандовского  муниципального округа Тверской области»</w:t>
      </w:r>
    </w:p>
    <w:p w14:paraId="AB010000">
      <w:pPr>
        <w:pStyle w:val="Style_11"/>
        <w:spacing w:after="0" w:before="0" w:line="100" w:lineRule="atLeast"/>
        <w:ind/>
        <w:jc w:val="center"/>
      </w:pPr>
      <w:r>
        <w:rPr>
          <w:rFonts w:ascii="Times New Roman" w:hAnsi="Times New Roman"/>
          <w:sz w:val="24"/>
        </w:rPr>
        <w:t>на 2021 – 2026 годы</w:t>
      </w:r>
    </w:p>
    <w:p w14:paraId="AC01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Принятые обозначения и сокращения:</w:t>
      </w:r>
    </w:p>
    <w:p w14:paraId="AD01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 xml:space="preserve">1. Программа - муниципальная программа Сандовского  муниципального округа Тверской области </w:t>
      </w:r>
      <w:bookmarkStart w:id="1" w:name="__DdeLink__656_1563333595"/>
      <w:r>
        <w:rPr>
          <w:rFonts w:ascii="Times New Roman" w:hAnsi="Times New Roman"/>
        </w:rPr>
        <w:t xml:space="preserve">«Развитие молодёжной политики   Сандовского  муниципального округа Тверской области </w:t>
      </w:r>
      <w:bookmarkEnd w:id="1"/>
      <w:r>
        <w:rPr>
          <w:rFonts w:ascii="Times New Roman" w:hAnsi="Times New Roman"/>
        </w:rPr>
        <w:t>» на 2021-2026 годы;</w:t>
      </w:r>
    </w:p>
    <w:p w14:paraId="AE01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2. Цель - цель программы;</w:t>
      </w:r>
    </w:p>
    <w:p w14:paraId="AF01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3. Подпрограмма — подпрограмма муниципальной программы Сандовского  муниципального округа Тверской области «Создание условий для вовлечения молодёжи в общественно – политическую, социально – экономическую и культурную жизнь общества»</w:t>
      </w:r>
    </w:p>
    <w:p w14:paraId="B001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  <w:jc w:val="both"/>
      </w:pPr>
      <w:r>
        <w:rPr>
          <w:rFonts w:ascii="Times New Roman" w:hAnsi="Times New Roman"/>
        </w:rPr>
        <w:t>4. Задача  - задача подпрограммы;</w:t>
      </w:r>
    </w:p>
    <w:p w14:paraId="B1010000">
      <w:pPr>
        <w:pStyle w:val="Style_1"/>
        <w:tabs>
          <w:tab w:leader="none" w:pos="709" w:val="clear"/>
          <w:tab w:leader="none" w:pos="7371" w:val="left"/>
        </w:tabs>
        <w:spacing w:line="288" w:lineRule="auto"/>
        <w:ind/>
      </w:pPr>
      <w:r>
        <w:rPr>
          <w:rFonts w:ascii="Times New Roman" w:hAnsi="Times New Roman"/>
        </w:rPr>
        <w:t>5. Показатель - показатель цели (задачи);</w:t>
      </w:r>
    </w:p>
    <w:tbl>
      <w:tblPr>
        <w:tblStyle w:val="Style_5"/>
        <w:tblInd w:type="dxa" w:w="-326"/>
        <w:tblLayout w:type="fixed"/>
        <w:tblCellMar>
          <w:top w:type="dxa" w:w="0"/>
          <w:left w:type="dxa" w:w="10"/>
          <w:bottom w:type="dxa" w:w="0"/>
          <w:right w:type="dxa" w:w="10"/>
        </w:tblCellMar>
      </w:tblPr>
      <w:tblGrid>
        <w:gridCol w:w="5919"/>
        <w:gridCol w:w="1020"/>
        <w:gridCol w:w="5896"/>
        <w:gridCol w:w="2345"/>
      </w:tblGrid>
      <w:t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2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3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Наименование показателя</w:t>
            </w:r>
          </w:p>
          <w:p w14:paraId="B4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5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Единица измерения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6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7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Методика расчёта показателя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8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Источник получения информации для расчёта значения показателя</w:t>
            </w:r>
          </w:p>
        </w:tc>
      </w:tr>
      <w:t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9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Муниципальная программа Сандовского муниципального округа Тверской области «Развитие молодёжной политики Сандовского муниципального округа Тверской области» на 2021-2026 годы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A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B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C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D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Цель  «Создание условий для гражданского становления, эффективной социализации и самореализации молодых граждан»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BE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F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C0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1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  <w:sz w:val="18"/>
              </w:rPr>
            </w:pPr>
          </w:p>
          <w:p w14:paraId="C2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  <w:sz w:val="18"/>
              </w:rPr>
            </w:pPr>
          </w:p>
          <w:p w14:paraId="C3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4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  <w:sz w:val="18"/>
              </w:rPr>
            </w:pPr>
          </w:p>
          <w:p w14:paraId="C5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  <w:sz w:val="18"/>
              </w:rPr>
            </w:pPr>
          </w:p>
          <w:p w14:paraId="C6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7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Показатель 1</w:t>
            </w:r>
          </w:p>
          <w:p w14:paraId="C8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«Доля молодых граждан района, участвующих в мероприятиях молодёжной политики»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9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  <w:sz w:val="18"/>
              </w:rPr>
            </w:pPr>
          </w:p>
          <w:p w14:paraId="CA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  <w:sz w:val="18"/>
              </w:rPr>
            </w:pPr>
          </w:p>
          <w:p w14:paraId="CB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</w:t>
            </w: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C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молодых граждан  Сандовского муниципального округа, участвующих в мероприятиях молодёжной политики /общее количество молодых граждан Сандовского района:</w:t>
            </w:r>
          </w:p>
          <w:p w14:paraId="CD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 </w:t>
            </w:r>
            <w:r>
              <w:rPr>
                <w:rFonts w:ascii="Times New Roman" w:hAnsi="Times New Roman"/>
                <w:sz w:val="18"/>
              </w:rPr>
              <w:t>* 100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CE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rFonts w:ascii="Times New Roman" w:hAnsi="Times New Roman"/>
                <w:sz w:val="18"/>
              </w:rPr>
            </w:pPr>
          </w:p>
          <w:p w14:paraId="CF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органа местного самоуправления</w:t>
            </w:r>
          </w:p>
        </w:tc>
      </w:tr>
      <w:t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0010000">
            <w:pPr>
              <w:pStyle w:val="Style_11"/>
              <w:widowControl w:val="0"/>
              <w:spacing w:after="0" w:before="0" w:line="100" w:lineRule="atLeast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Показатель 2</w:t>
            </w:r>
          </w:p>
          <w:p w14:paraId="D1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«Уровень информированности молодёжи о предоставляемых в Сандовском муниципальном округе возможностях для саморазвития и самореализации»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2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3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4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5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молодых граждан Сандовского района, положительно ответивших на вопросы \ общее количество опрошенных:</w:t>
            </w:r>
          </w:p>
          <w:p w14:paraId="D6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</w:t>
            </w:r>
            <w:r>
              <w:rPr>
                <w:rFonts w:ascii="Times New Roman" w:hAnsi="Times New Roman"/>
                <w:sz w:val="18"/>
              </w:rPr>
              <w:t>* 100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7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8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9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Социологический опрос</w:t>
            </w:r>
          </w:p>
        </w:tc>
      </w:tr>
      <w:t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A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Подпрограмма</w:t>
            </w:r>
          </w:p>
          <w:p w14:paraId="DB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«Создание условий для вовлечения молодёжи в общественно – политическую, социально – экономическую и культурную жизнь общества»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C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D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DE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F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0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1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2010000">
            <w:pPr>
              <w:pStyle w:val="Style_11"/>
              <w:widowControl w:val="0"/>
              <w:spacing w:after="0" w:before="0" w:line="100" w:lineRule="atLeast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Задача 1</w:t>
            </w:r>
          </w:p>
          <w:p w14:paraId="E3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«Содействие развитию гражданско – патриотического и духовно – нравственного воспитания молодёжи»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4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5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6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7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8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9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A010000">
            <w:pPr>
              <w:pStyle w:val="Style_11"/>
              <w:widowControl w:val="0"/>
              <w:spacing w:after="0" w:before="0" w:line="100" w:lineRule="atLeast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Показатель 1</w:t>
            </w:r>
          </w:p>
          <w:p w14:paraId="EB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«Доля молодёжи, принявшая участие в мероприятиях гражданско – патриотической и духовно – нравственной направленности»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C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D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EE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молодёжи, принимающей участие в мероприятиях гражданско – патриотической и духовно – нравственной направленности \общее количество молодёжи Сандовского муниципального округа:</w:t>
            </w:r>
          </w:p>
          <w:p w14:paraId="EF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</w:t>
            </w:r>
            <w:r>
              <w:rPr>
                <w:rFonts w:ascii="Times New Roman" w:hAnsi="Times New Roman"/>
                <w:sz w:val="18"/>
              </w:rPr>
              <w:t>*100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0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1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2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органа местного самоуправления</w:t>
            </w:r>
          </w:p>
        </w:tc>
      </w:tr>
      <w:t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3010000">
            <w:pPr>
              <w:pStyle w:val="Style_11"/>
              <w:widowControl w:val="0"/>
              <w:spacing w:after="0" w:before="0" w:line="100" w:lineRule="atLeast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Задача 2</w:t>
            </w:r>
          </w:p>
          <w:p w14:paraId="F4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«Поддержка общественно – значимых молодёжных инициатив и деятельности детских и молодёжных общественных объединений»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5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6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7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8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9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A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B010000">
            <w:pPr>
              <w:pStyle w:val="Style_11"/>
              <w:widowControl w:val="0"/>
              <w:spacing w:after="0" w:before="0" w:line="100" w:lineRule="atLeast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Показатель 1</w:t>
            </w:r>
          </w:p>
          <w:p w14:paraId="FC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«Доля молодёжи, принимающая участие в деятельности детских и молодёжных общественных объединений»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D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E01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FF01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молодёжи, принимающей участие в деятельности детских и молодёжных общественных объединений/общее количество молодёжи</w:t>
            </w:r>
          </w:p>
          <w:p w14:paraId="00020000">
            <w:pPr>
              <w:pStyle w:val="Style_11"/>
              <w:widowControl w:val="0"/>
              <w:spacing w:after="0" w:before="0" w:line="100" w:lineRule="atLeast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                         </w:t>
            </w:r>
            <w:r>
              <w:rPr>
                <w:rFonts w:ascii="Times New Roman" w:hAnsi="Times New Roman"/>
                <w:sz w:val="18"/>
              </w:rPr>
              <w:t>*100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1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2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органа местного самоуправления</w:t>
            </w:r>
          </w:p>
        </w:tc>
      </w:tr>
      <w:t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3020000">
            <w:pPr>
              <w:pStyle w:val="Style_11"/>
              <w:widowControl w:val="0"/>
              <w:spacing w:after="0" w:before="0" w:line="100" w:lineRule="atLeast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Задача 3</w:t>
            </w:r>
          </w:p>
          <w:p w14:paraId="04020000">
            <w:pPr>
              <w:pStyle w:val="Style_11"/>
              <w:widowControl w:val="0"/>
              <w:spacing w:after="0" w:before="0" w:line="100" w:lineRule="atLeast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«Развитие деятельности, направленной на формирование  здорового образа жизни»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5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6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7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8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9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A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</w:tr>
      <w:tr>
        <w:trPr>
          <w:trHeight w:hRule="atLeast" w:val="1147"/>
        </w:trPr>
        <w:tc>
          <w:tcPr>
            <w:tcW w:type="dxa" w:w="5919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B020000">
            <w:pPr>
              <w:pStyle w:val="Style_11"/>
              <w:widowControl w:val="0"/>
              <w:spacing w:after="0" w:before="0" w:line="100" w:lineRule="atLeast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Показатель 1</w:t>
            </w:r>
          </w:p>
          <w:p w14:paraId="0C020000">
            <w:pPr>
              <w:pStyle w:val="Style_11"/>
              <w:widowControl w:val="0"/>
              <w:spacing w:after="0" w:before="0" w:line="100" w:lineRule="atLeast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«Доля молодых граждан, участвующих в мероприятиях, направленных на формирование здорового образа жизни»</w:t>
            </w:r>
          </w:p>
        </w:tc>
        <w:tc>
          <w:tcPr>
            <w:tcW w:type="dxa" w:w="1020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D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E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type="dxa" w:w="5896"/>
            <w:tcBorders>
              <w:top w:color="000080" w:sz="4" w:val="single"/>
              <w:left w:color="000080" w:sz="4" w:val="single"/>
              <w:bottom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0F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молодых граждан Сандовского муниципального органа, участвующих в мероприятиях, направленных на формирование здорового образа жизни общее количество молодых граждан :</w:t>
            </w:r>
          </w:p>
          <w:p w14:paraId="10020000">
            <w:pPr>
              <w:pStyle w:val="Style_11"/>
              <w:widowControl w:val="0"/>
              <w:spacing w:after="0" w:before="0" w:line="100" w:lineRule="atLeast"/>
              <w:ind w:firstLine="0" w:left="360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*100</w:t>
            </w:r>
          </w:p>
        </w:tc>
        <w:tc>
          <w:tcPr>
            <w:tcW w:type="dxa" w:w="2345"/>
            <w:tcBorders>
              <w:top w:color="000080" w:sz="4" w:val="single"/>
              <w:left w:color="000080" w:sz="4" w:val="single"/>
              <w:bottom w:color="000080" w:sz="4" w:val="single"/>
              <w:right w:color="000080" w:sz="4" w:val="single"/>
            </w:tcBorders>
            <w:shd w:fill="auto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 w14:paraId="11020000">
            <w:pPr>
              <w:pStyle w:val="Style_11"/>
              <w:widowControl w:val="0"/>
              <w:spacing w:after="0" w:before="0" w:line="100" w:lineRule="atLeast"/>
              <w:ind/>
              <w:rPr>
                <w:rFonts w:ascii="Times New Roman" w:hAnsi="Times New Roman"/>
                <w:sz w:val="18"/>
              </w:rPr>
            </w:pPr>
          </w:p>
          <w:p w14:paraId="12020000">
            <w:pPr>
              <w:pStyle w:val="Style_11"/>
              <w:widowControl w:val="0"/>
              <w:spacing w:after="0" w:before="0" w:line="100" w:lineRule="atLeast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Данные органа местного самоуправления</w:t>
            </w:r>
          </w:p>
        </w:tc>
      </w:tr>
    </w:tbl>
    <w:p w14:paraId="13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4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5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6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7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8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9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A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B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C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D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E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1F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0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1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2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3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4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5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6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7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8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9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A020000">
      <w:pPr>
        <w:pStyle w:val="Style_11"/>
        <w:spacing w:after="0" w:before="0" w:line="100" w:lineRule="atLeast"/>
        <w:ind/>
        <w:jc w:val="center"/>
        <w:rPr>
          <w:rFonts w:ascii="Times New Roman" w:hAnsi="Times New Roman"/>
          <w:color w:val="26282F"/>
          <w:sz w:val="24"/>
        </w:rPr>
      </w:pPr>
    </w:p>
    <w:p w14:paraId="2B020000">
      <w:pPr>
        <w:pStyle w:val="Style_11"/>
        <w:spacing w:after="0" w:before="0" w:line="0" w:lineRule="atLeast"/>
        <w:ind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Приложение 3  </w:t>
      </w:r>
    </w:p>
    <w:p w14:paraId="2C020000">
      <w:pPr>
        <w:pStyle w:val="Style_11"/>
        <w:spacing w:after="0" w:before="0" w:line="0" w:lineRule="atLeast"/>
        <w:ind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постановлению Администрации </w:t>
      </w:r>
    </w:p>
    <w:p w14:paraId="2D020000">
      <w:pPr>
        <w:pStyle w:val="Style_11"/>
        <w:spacing w:after="0" w:before="0" w:line="0" w:lineRule="atLeast"/>
        <w:ind/>
        <w:jc w:val="right"/>
        <w:rPr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Сандовского муниципального округа </w:t>
      </w:r>
      <w:r>
        <w:rPr>
          <w:rFonts w:ascii="Times New Roman" w:hAnsi="Times New Roman"/>
          <w:color w:val="26282F"/>
          <w:sz w:val="24"/>
        </w:rPr>
        <w:t xml:space="preserve">от 12.02.2021г № 59 </w:t>
      </w:r>
    </w:p>
    <w:p w14:paraId="2E020000">
      <w:pPr>
        <w:pStyle w:val="Style_11"/>
        <w:spacing w:after="0" w:before="0" w:line="0" w:lineRule="atLeast"/>
        <w:ind/>
        <w:jc w:val="right"/>
        <w:rPr>
          <w:rFonts w:ascii="Times New Roman" w:hAnsi="Times New Roman"/>
          <w:color w:val="26282F"/>
          <w:sz w:val="24"/>
        </w:rPr>
      </w:pPr>
    </w:p>
    <w:p w14:paraId="2F020000">
      <w:pPr>
        <w:pStyle w:val="Style_1"/>
        <w:ind/>
        <w:jc w:val="right"/>
      </w:pPr>
      <w:r>
        <w:rPr>
          <w:rFonts w:ascii="Times New Roman" w:hAnsi="Times New Roman"/>
          <w:color w:val="26282F"/>
        </w:rPr>
        <w:t xml:space="preserve"> </w:t>
      </w:r>
    </w:p>
    <w:p w14:paraId="30020000">
      <w:pPr>
        <w:pStyle w:val="Style_1"/>
        <w:ind/>
        <w:jc w:val="center"/>
        <w:rPr>
          <w:b w:val="1"/>
        </w:rPr>
      </w:pPr>
      <w:r>
        <w:rPr>
          <w:rFonts w:ascii="Times New Roman" w:hAnsi="Times New Roman"/>
          <w:b w:val="1"/>
          <w:color w:val="26282F"/>
        </w:rPr>
        <w:t>Характеристика муниципальной программы</w:t>
      </w:r>
      <w:r>
        <w:rPr>
          <w:rFonts w:ascii="Times New Roman" w:hAnsi="Times New Roman"/>
          <w:b w:val="1"/>
        </w:rPr>
        <w:t xml:space="preserve"> Сандовского  муниципального округа Тверской области</w:t>
      </w:r>
    </w:p>
    <w:p w14:paraId="31020000">
      <w:pPr>
        <w:pStyle w:val="Style_1"/>
        <w:ind/>
        <w:jc w:val="center"/>
        <w:rPr>
          <w:u w:val="single"/>
        </w:rPr>
      </w:pPr>
      <w:r>
        <w:rPr>
          <w:rFonts w:ascii="Times New Roman" w:hAnsi="Times New Roman"/>
          <w:color w:val="26282F"/>
          <w:u w:val="single"/>
        </w:rPr>
        <w:t xml:space="preserve">«Развитие молодёжной политики Сандовского  </w:t>
      </w:r>
      <w:r>
        <w:rPr>
          <w:rFonts w:ascii="Times New Roman" w:hAnsi="Times New Roman"/>
          <w:u w:val="single"/>
        </w:rPr>
        <w:t>муниципального округа</w:t>
      </w:r>
      <w:r>
        <w:rPr>
          <w:rFonts w:ascii="Times New Roman" w:hAnsi="Times New Roman"/>
          <w:color w:val="26282F"/>
          <w:u w:val="single"/>
        </w:rPr>
        <w:t xml:space="preserve"> Тверской области»</w:t>
      </w:r>
    </w:p>
    <w:p w14:paraId="32020000">
      <w:pPr>
        <w:pStyle w:val="Style_1"/>
        <w:spacing w:after="108" w:before="108"/>
        <w:ind/>
        <w:jc w:val="center"/>
      </w:pPr>
      <w:r>
        <w:rPr>
          <w:rFonts w:ascii="Times New Roman" w:hAnsi="Times New Roman"/>
          <w:color w:val="26282F"/>
          <w:u w:val="single"/>
        </w:rPr>
        <w:t xml:space="preserve">на 2021-2026 годы </w:t>
      </w:r>
    </w:p>
    <w:p w14:paraId="33020000">
      <w:pPr>
        <w:pStyle w:val="Style_1"/>
        <w:ind/>
        <w:jc w:val="center"/>
      </w:pPr>
      <w:r>
        <w:rPr>
          <w:rFonts w:ascii="Times New Roman" w:hAnsi="Times New Roman"/>
        </w:rPr>
        <w:t>( наименование программы)</w:t>
      </w:r>
    </w:p>
    <w:p w14:paraId="34020000">
      <w:pPr>
        <w:pStyle w:val="Style_1"/>
        <w:spacing w:after="108" w:before="108"/>
        <w:ind/>
        <w:jc w:val="center"/>
        <w:rPr>
          <w:b w:val="1"/>
          <w:color w:val="26282F"/>
        </w:rPr>
      </w:pPr>
      <w:r>
        <w:rPr>
          <w:rFonts w:ascii="Times New Roman" w:hAnsi="Times New Roman"/>
          <w:b w:val="1"/>
          <w:color w:val="26282F"/>
        </w:rPr>
        <w:t>Администратор программы</w:t>
      </w:r>
      <w:r>
        <w:rPr>
          <w:rFonts w:ascii="Times New Roman" w:hAnsi="Times New Roman"/>
          <w:b w:val="1"/>
          <w:color w:val="26282F"/>
          <w:u w:val="single"/>
        </w:rPr>
        <w:t xml:space="preserve"> Администрация Сандовского</w:t>
      </w:r>
      <w:r>
        <w:rPr>
          <w:b w:val="1"/>
          <w:color w:val="26282F"/>
          <w:u w:val="single"/>
        </w:rPr>
        <w:t xml:space="preserve">  </w:t>
      </w:r>
      <w:r>
        <w:rPr>
          <w:rFonts w:ascii="Times New Roman" w:hAnsi="Times New Roman"/>
          <w:b w:val="1"/>
          <w:u w:val="single"/>
        </w:rPr>
        <w:t>муниципального округа</w:t>
      </w:r>
      <w:r>
        <w:rPr>
          <w:b w:val="1"/>
          <w:color w:val="26282F"/>
        </w:rPr>
        <w:t xml:space="preserve">                    </w:t>
      </w:r>
    </w:p>
    <w:p w14:paraId="35020000">
      <w:pPr>
        <w:pStyle w:val="Style_1"/>
        <w:spacing w:after="108" w:before="108"/>
        <w:ind/>
        <w:jc w:val="center"/>
      </w:pPr>
      <w:r>
        <w:rPr>
          <w:b w:val="1"/>
          <w:color w:val="26282F"/>
        </w:rPr>
        <w:t xml:space="preserve">       </w:t>
      </w:r>
      <w:r>
        <w:rPr>
          <w:b w:val="1"/>
          <w:color w:val="26282F"/>
        </w:rPr>
        <w:t>(наименование администратора)</w:t>
      </w:r>
    </w:p>
    <w:p w14:paraId="36020000">
      <w:pPr>
        <w:pStyle w:val="Style_1"/>
        <w:spacing w:after="108" w:before="108"/>
        <w:ind/>
        <w:jc w:val="center"/>
      </w:pPr>
      <w:r>
        <w:t>Принятые обозначения и сокращения:</w:t>
      </w:r>
    </w:p>
    <w:p w14:paraId="37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  <w:b w:val="1"/>
          <w:color w:val="26282F"/>
        </w:rPr>
        <w:t>1. Программа</w:t>
      </w:r>
      <w:r>
        <w:rPr>
          <w:rFonts w:ascii="Times New Roman" w:hAnsi="Times New Roman"/>
        </w:rPr>
        <w:t xml:space="preserve"> - муниципальная программа Сандовского муниципального округа Тверской области;</w:t>
      </w:r>
    </w:p>
    <w:p w14:paraId="38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  <w:color w:val="26282F"/>
        </w:rPr>
        <w:t xml:space="preserve">2. Цель </w:t>
      </w:r>
      <w:r>
        <w:rPr>
          <w:rFonts w:ascii="Times New Roman" w:hAnsi="Times New Roman"/>
        </w:rPr>
        <w:t>– цель муниципальной программы Сандовского  муниципального округа Тверской области;</w:t>
      </w:r>
    </w:p>
    <w:p w14:paraId="39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 w:val="1"/>
          <w:color w:val="26282F"/>
        </w:rPr>
        <w:t>Подпрограмма</w:t>
      </w:r>
      <w:r>
        <w:rPr>
          <w:rFonts w:ascii="Times New Roman" w:hAnsi="Times New Roman"/>
        </w:rPr>
        <w:t xml:space="preserve"> - подпрограмма муниципальной  программы Сандовского  муниципального округа Тверской области;</w:t>
      </w:r>
    </w:p>
    <w:p w14:paraId="3A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 w:val="1"/>
          <w:color w:val="26282F"/>
        </w:rPr>
        <w:t>Задача</w:t>
      </w:r>
      <w:r>
        <w:rPr>
          <w:rFonts w:ascii="Times New Roman" w:hAnsi="Times New Roman"/>
        </w:rPr>
        <w:t xml:space="preserve"> - задача подпрограммы;</w:t>
      </w:r>
    </w:p>
    <w:p w14:paraId="3B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 w:val="1"/>
          <w:color w:val="26282F"/>
        </w:rPr>
        <w:t>Мероприятие</w:t>
      </w:r>
      <w:r>
        <w:rPr>
          <w:rFonts w:ascii="Times New Roman" w:hAnsi="Times New Roman"/>
        </w:rPr>
        <w:t xml:space="preserve"> - мероприятие подпрограммы;</w:t>
      </w:r>
    </w:p>
    <w:p w14:paraId="3C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>
        <w:rPr>
          <w:rFonts w:ascii="Times New Roman" w:hAnsi="Times New Roman"/>
          <w:b w:val="1"/>
          <w:color w:val="26282F"/>
        </w:rPr>
        <w:t>Административное мероприятие</w:t>
      </w:r>
      <w:r>
        <w:rPr>
          <w:rFonts w:ascii="Times New Roman" w:hAnsi="Times New Roman"/>
        </w:rPr>
        <w:t xml:space="preserve"> - административное мероприятие подпрограммы или обеспечивающей подпрограммы;</w:t>
      </w:r>
    </w:p>
    <w:p w14:paraId="3D020000">
      <w:pPr>
        <w:pStyle w:val="Style_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>
        <w:rPr>
          <w:rFonts w:ascii="Times New Roman" w:hAnsi="Times New Roman"/>
          <w:b w:val="1"/>
          <w:color w:val="26282F"/>
        </w:rPr>
        <w:t>Показатель</w:t>
      </w:r>
      <w:r>
        <w:rPr>
          <w:rFonts w:ascii="Times New Roman" w:hAnsi="Times New Roman"/>
        </w:rPr>
        <w:t>- показатель цели программы, показатель задачи подпрограммы, показатель мероприятия подпрограммы, показатель административного мероприятия подпрограммы.</w:t>
      </w:r>
    </w:p>
    <w:p w14:paraId="3E020000">
      <w:pPr>
        <w:pStyle w:val="Style_1"/>
        <w:rPr>
          <w:rFonts w:ascii="Times New Roman" w:hAnsi="Times New Roman"/>
        </w:rPr>
      </w:pPr>
    </w:p>
    <w:tbl>
      <w:tblPr>
        <w:tblStyle w:val="Style_5"/>
        <w:tblInd w:type="dxa" w:w="-1"/>
        <w:tblLayout w:type="fixed"/>
        <w:tblCellMar>
          <w:top w:type="dxa" w:w="0"/>
          <w:left w:type="dxa" w:w="2"/>
          <w:bottom w:type="dxa" w:w="0"/>
          <w:right w:type="dxa" w:w="0"/>
        </w:tblCellMar>
      </w:tblPr>
      <w:tblGrid>
        <w:gridCol w:w="491"/>
        <w:gridCol w:w="443"/>
        <w:gridCol w:w="425"/>
        <w:gridCol w:w="328"/>
        <w:gridCol w:w="223"/>
        <w:gridCol w:w="352"/>
        <w:gridCol w:w="505"/>
        <w:gridCol w:w="670"/>
        <w:gridCol w:w="640"/>
        <w:gridCol w:w="1214"/>
        <w:gridCol w:w="635"/>
        <w:gridCol w:w="624"/>
        <w:gridCol w:w="218"/>
        <w:gridCol w:w="214"/>
        <w:gridCol w:w="214"/>
        <w:gridCol w:w="211"/>
        <w:gridCol w:w="211"/>
        <w:gridCol w:w="272"/>
        <w:gridCol w:w="255"/>
        <w:gridCol w:w="238"/>
        <w:gridCol w:w="1879"/>
        <w:gridCol w:w="885"/>
        <w:gridCol w:w="448"/>
        <w:gridCol w:w="444"/>
        <w:gridCol w:w="445"/>
        <w:gridCol w:w="445"/>
        <w:gridCol w:w="445"/>
        <w:gridCol w:w="448"/>
        <w:gridCol w:w="1028"/>
      </w:tblGrid>
      <w:tr>
        <w:tc>
          <w:tcPr>
            <w:tcW w:type="dxa" w:w="7618"/>
            <w:gridSpan w:val="17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F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Коды бюджетной классификации</w:t>
            </w:r>
          </w:p>
        </w:tc>
        <w:tc>
          <w:tcPr>
            <w:tcW w:type="dxa" w:w="765"/>
            <w:gridSpan w:val="3"/>
            <w:tcBorders>
              <w:top w:color="000080" w:sz="2" w:val="single"/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0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Вид расходов</w:t>
            </w: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1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2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Единица измерения</w:t>
            </w:r>
          </w:p>
        </w:tc>
        <w:tc>
          <w:tcPr>
            <w:tcW w:type="dxa" w:w="2675"/>
            <w:gridSpan w:val="6"/>
            <w:tcBorders>
              <w:top w:color="000080" w:sz="2" w:val="single"/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3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Годы реализации программы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righ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4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Целевое (суммарное) значение показателя</w:t>
            </w:r>
          </w:p>
          <w:p w14:paraId="45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значение</w:t>
            </w:r>
          </w:p>
        </w:tc>
      </w:tr>
      <w:tr>
        <w:tc>
          <w:tcPr>
            <w:tcW w:type="dxa" w:w="1359"/>
            <w:gridSpan w:val="3"/>
            <w:tcBorders>
              <w:top w:color="000080" w:sz="2" w:val="single"/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6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код администратора программы</w:t>
            </w:r>
          </w:p>
        </w:tc>
        <w:tc>
          <w:tcPr>
            <w:tcW w:type="dxa" w:w="551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7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раздел</w:t>
            </w:r>
          </w:p>
        </w:tc>
        <w:tc>
          <w:tcPr>
            <w:tcW w:type="dxa" w:w="857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8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подраздел</w:t>
            </w:r>
          </w:p>
        </w:tc>
        <w:tc>
          <w:tcPr>
            <w:tcW w:type="dxa" w:w="4851"/>
            <w:gridSpan w:val="1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9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код целевой статьи расхода бюджета</w:t>
            </w:r>
          </w:p>
        </w:tc>
        <w:tc>
          <w:tcPr>
            <w:tcW w:type="dxa" w:w="765"/>
            <w:gridSpan w:val="3"/>
            <w:tcBorders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A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B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5"/>
            <w:tcBorders>
              <w:lef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C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75"/>
            <w:gridSpan w:val="6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D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28"/>
            <w:tcBorders>
              <w:left w:color="000080" w:sz="2" w:val="single"/>
              <w:righ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E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1359"/>
            <w:gridSpan w:val="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F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51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0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57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1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10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2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муниципальная программа</w:t>
            </w: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3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подпрограмма</w:t>
            </w:r>
          </w:p>
        </w:tc>
        <w:tc>
          <w:tcPr>
            <w:tcW w:type="dxa" w:w="1259"/>
            <w:gridSpan w:val="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4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задача подпрограммы</w:t>
            </w:r>
          </w:p>
        </w:tc>
        <w:tc>
          <w:tcPr>
            <w:tcW w:type="dxa" w:w="1068"/>
            <w:gridSpan w:val="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5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направление расходов</w:t>
            </w:r>
          </w:p>
        </w:tc>
        <w:tc>
          <w:tcPr>
            <w:tcW w:type="dxa" w:w="765"/>
            <w:gridSpan w:val="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6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7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8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9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2021</w:t>
            </w:r>
          </w:p>
          <w:p w14:paraId="5A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B020000">
            <w:pPr>
              <w:pStyle w:val="Style_12"/>
              <w:widowControl w:val="0"/>
              <w:spacing w:line="276" w:lineRule="auto"/>
              <w:ind w:hanging="67" w:left="6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(2022</w:t>
            </w:r>
          </w:p>
          <w:p w14:paraId="5C020000">
            <w:pPr>
              <w:pStyle w:val="Style_12"/>
              <w:widowControl w:val="0"/>
              <w:spacing w:line="276" w:lineRule="auto"/>
              <w:ind w:hanging="67" w:left="67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D020000">
            <w:pPr>
              <w:pStyle w:val="Style_12"/>
              <w:widowControl w:val="0"/>
              <w:spacing w:line="276" w:lineRule="auto"/>
              <w:ind w:hanging="151" w:left="151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(  2023</w:t>
            </w:r>
          </w:p>
          <w:p w14:paraId="5E020000">
            <w:pPr>
              <w:pStyle w:val="Style_12"/>
              <w:widowControl w:val="0"/>
              <w:spacing w:line="276" w:lineRule="auto"/>
              <w:ind w:hanging="151" w:left="151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F020000">
            <w:pPr>
              <w:pStyle w:val="Style_12"/>
              <w:widowControl w:val="0"/>
              <w:spacing w:line="276" w:lineRule="auto"/>
              <w:ind w:hanging="94" w:left="94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(  2024</w:t>
            </w:r>
          </w:p>
          <w:p w14:paraId="60020000">
            <w:pPr>
              <w:pStyle w:val="Style_12"/>
              <w:widowControl w:val="0"/>
              <w:spacing w:line="276" w:lineRule="auto"/>
              <w:ind w:hanging="94" w:left="94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1020000">
            <w:pPr>
              <w:pStyle w:val="Style_12"/>
              <w:widowControl w:val="0"/>
              <w:spacing w:line="276" w:lineRule="auto"/>
              <w:ind w:hanging="182" w:left="182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(N2025</w:t>
            </w:r>
          </w:p>
          <w:p w14:paraId="62020000">
            <w:pPr>
              <w:pStyle w:val="Style_12"/>
              <w:widowControl w:val="0"/>
              <w:spacing w:line="276" w:lineRule="auto"/>
              <w:ind w:hanging="182" w:left="182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3020000">
            <w:pPr>
              <w:pStyle w:val="Style_12"/>
              <w:widowControl w:val="0"/>
              <w:spacing w:line="276" w:lineRule="auto"/>
              <w:ind w:hanging="106" w:left="10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2026</w:t>
            </w:r>
          </w:p>
          <w:p w14:paraId="64020000">
            <w:pPr>
              <w:pStyle w:val="Style_12"/>
              <w:widowControl w:val="0"/>
              <w:spacing w:line="276" w:lineRule="auto"/>
              <w:ind w:hanging="106" w:left="106"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год</w:t>
            </w:r>
          </w:p>
        </w:tc>
        <w:tc>
          <w:tcPr>
            <w:tcW w:type="dxa" w:w="1028"/>
            <w:tcBorders>
              <w:left w:color="000080" w:sz="2" w:val="single"/>
              <w:bottom w:color="000080" w:sz="2" w:val="single"/>
              <w:right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5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6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7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8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9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A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B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C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D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E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9</w:t>
            </w: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F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</w:t>
            </w: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0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1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</w:t>
            </w: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2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13</w:t>
            </w: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3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</w:t>
            </w: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4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</w:t>
            </w: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5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</w:t>
            </w: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6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17</w:t>
            </w: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7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</w:t>
            </w: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8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</w:t>
            </w: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9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A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B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22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C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D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E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F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0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1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2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3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4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5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6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7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8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9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A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B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C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D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E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F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0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1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2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3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4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5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6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702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b w:val="1"/>
                <w:sz w:val="18"/>
              </w:rPr>
              <w:t>Программа, всего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8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9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A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B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C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D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E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F02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180,00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0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1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2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3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4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5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6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7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8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9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A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B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C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D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E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F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0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B1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B2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B3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402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Цель </w:t>
            </w:r>
            <w:r>
              <w:rPr>
                <w:rFonts w:ascii="Times New Roman" w:hAnsi="Times New Roman"/>
                <w:sz w:val="18"/>
              </w:rPr>
              <w:t>«Создание условий для успешной самореализации молодёжи и её интеграции в общество, направленной на раскрытие потенциала для дальнейшего развития Тверской области и повышение роли молодёжи в жизни района»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502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6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7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8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9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A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B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C020000">
            <w:pPr>
              <w:pStyle w:val="Style_12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381"/>
        </w:trP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D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E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F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0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1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2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3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4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5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6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7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8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9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A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B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C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D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E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F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D0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102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1 «</w:t>
            </w:r>
            <w:r>
              <w:rPr>
                <w:rFonts w:ascii="Times New Roman" w:hAnsi="Times New Roman"/>
                <w:sz w:val="18"/>
              </w:rPr>
              <w:t>Доля молодых граждан района, участвующих в мероприятиях  молодежной политики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2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302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402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49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502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602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702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802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902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A02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B02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C02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53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D02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E02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F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</w:p>
        </w:tc>
      </w:tr>
      <w:tr>
        <w:trPr>
          <w:trHeight w:hRule="atLeast" w:val="758"/>
        </w:trP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0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1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2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3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4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5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6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7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8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9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A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B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C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D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E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F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0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1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2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302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402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Показатель  2  </w:t>
            </w:r>
            <w:r>
              <w:rPr>
                <w:rFonts w:ascii="Times New Roman" w:hAnsi="Times New Roman"/>
                <w:sz w:val="18"/>
              </w:rPr>
              <w:t xml:space="preserve"> «Уровень информированности молодежи о  предоставляемых в Сандовском   муниципальном округе возможностях  для   саморазвития и самореализации»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502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602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702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802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902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39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A02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B02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C02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D02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E02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F02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003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1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2030000">
            <w:pPr>
              <w:pStyle w:val="Style_12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 </w:t>
            </w:r>
            <w:r>
              <w:rPr>
                <w:rFonts w:ascii="Times New Roman" w:hAnsi="Times New Roman"/>
                <w:sz w:val="18"/>
              </w:rPr>
              <w:t>43</w:t>
            </w:r>
          </w:p>
          <w:p w14:paraId="0303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803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Подпрограмма</w:t>
            </w:r>
            <w:r>
              <w:rPr>
                <w:rFonts w:ascii="Times New Roman" w:hAnsi="Times New Roman"/>
                <w:sz w:val="18"/>
              </w:rPr>
              <w:t xml:space="preserve"> «Создание условий для вовлечения молодёжи в общественно-политическую, социально-экономическую и культурную жизнь общества»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9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A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B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C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D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E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F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30,00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0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180,0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503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З</w:t>
            </w:r>
            <w:r>
              <w:rPr>
                <w:rFonts w:ascii="Times New Roman" w:hAnsi="Times New Roman"/>
                <w:b w:val="1"/>
                <w:sz w:val="18"/>
              </w:rPr>
              <w:t>адача  1  «</w:t>
            </w:r>
            <w:r>
              <w:rPr>
                <w:rFonts w:ascii="Times New Roman" w:hAnsi="Times New Roman"/>
                <w:sz w:val="18"/>
              </w:rPr>
              <w:t xml:space="preserve"> Содействие развитию гражданско-патриотического и  духовно- нравственного воспитания молодежи»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603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тыс. руб.</w:t>
            </w:r>
          </w:p>
          <w:p w14:paraId="3703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8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9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A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B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C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D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30,0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E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180,0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303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Мероприятие  1.001 </w:t>
            </w:r>
            <w:r>
              <w:rPr>
                <w:rFonts w:ascii="Times New Roman" w:hAnsi="Times New Roman"/>
                <w:sz w:val="18"/>
              </w:rPr>
              <w:t xml:space="preserve">   «Организация и проведение торжественных мероприятий, посвященных Дням воинской славы России»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403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тыс. руб.</w:t>
            </w:r>
          </w:p>
          <w:p w14:paraId="5503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6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7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8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9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A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B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C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7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103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 1</w:t>
            </w:r>
          </w:p>
          <w:p w14:paraId="7203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молодых граждан, принявших участие в мероприятиях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3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4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5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6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7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8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9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A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F03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Показатель 2 </w:t>
            </w:r>
            <w:r>
              <w:rPr>
                <w:rFonts w:ascii="Times New Roman" w:hAnsi="Times New Roman"/>
                <w:sz w:val="18"/>
              </w:rPr>
              <w:t xml:space="preserve"> « Доля молодежи, принявшая участие в мероприятиях гражданско-патриотической  и духовно- нравственной направленности»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0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1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2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3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4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5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28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6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7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C03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Административное мероприятие 1.002</w:t>
            </w:r>
          </w:p>
          <w:p w14:paraId="AD03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«Организация и проведение мероприятий по вовлечению в творческую деятельность»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E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F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0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1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2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3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4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5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A03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1</w:t>
            </w:r>
          </w:p>
          <w:p w14:paraId="CB03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Количество молодёжи, вовлеченной в творческую деятельность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C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D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140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E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163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F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163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0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186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1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2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210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303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233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0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1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2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803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Административное мероприятие 1.003</w:t>
            </w:r>
          </w:p>
          <w:p w14:paraId="E903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«Участие в форуме «Молодёжь Верхневолжья»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EA03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B03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 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C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D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E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F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0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1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203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3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4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5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6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7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8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9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A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B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C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D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E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F03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0704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</w:t>
            </w:r>
            <w:r>
              <w:rPr>
                <w:rFonts w:ascii="Times New Roman" w:hAnsi="Times New Roman"/>
                <w:sz w:val="18"/>
              </w:rPr>
              <w:t xml:space="preserve"> 1</w:t>
            </w:r>
          </w:p>
          <w:p w14:paraId="0804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«Количество участников форума»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904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A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B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C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D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E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F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0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504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Мероприятие 1.004  </w:t>
            </w:r>
            <w:r>
              <w:rPr>
                <w:rFonts w:ascii="Times New Roman" w:hAnsi="Times New Roman"/>
                <w:sz w:val="18"/>
              </w:rPr>
              <w:t>«Проведение мероприятий по благоустройству воинских захоронений»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6040000">
            <w:pPr>
              <w:pStyle w:val="Style_10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7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8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9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A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B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C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D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204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1</w:t>
            </w:r>
          </w:p>
          <w:p w14:paraId="4304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Доля благоустроенных воинских захоронений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4040000">
            <w:pPr>
              <w:pStyle w:val="Style_10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5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6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47040000">
            <w:pPr>
              <w:pStyle w:val="Style_1"/>
              <w:widowControl w:val="0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8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49040000">
            <w:pPr>
              <w:pStyle w:val="Style_1"/>
              <w:widowControl w:val="0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A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4B040000">
            <w:pPr>
              <w:pStyle w:val="Style_1"/>
              <w:widowControl w:val="0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C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4D040000">
            <w:pPr>
              <w:pStyle w:val="Style_1"/>
              <w:widowControl w:val="0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4E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4F040000">
            <w:pPr>
              <w:pStyle w:val="Style_1"/>
              <w:widowControl w:val="0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50040000">
            <w:pPr>
              <w:pStyle w:val="Style_1"/>
              <w:widowControl w:val="0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51040000">
            <w:pPr>
              <w:pStyle w:val="Style_1"/>
              <w:widowControl w:val="0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</w:t>
            </w:r>
          </w:p>
        </w:tc>
      </w:tr>
      <w:tr>
        <w:trPr>
          <w:trHeight w:hRule="atLeast" w:val="389"/>
        </w:trP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604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Задача 2 </w:t>
            </w:r>
            <w:r>
              <w:rPr>
                <w:rFonts w:ascii="Times New Roman" w:hAnsi="Times New Roman"/>
                <w:sz w:val="18"/>
              </w:rPr>
              <w:t xml:space="preserve"> «Поддержка общественно-значимых и деятельности детских и молодёжных общественных объединений»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7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8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9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A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B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C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D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E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389"/>
        </w:trP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304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1 «</w:t>
            </w:r>
            <w:r>
              <w:rPr>
                <w:rFonts w:ascii="Times New Roman" w:hAnsi="Times New Roman"/>
                <w:sz w:val="18"/>
              </w:rPr>
              <w:t>Доля молодежи, принимающая участие в деятельности детских и молодежных общественных объединений»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8404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8504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6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7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8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9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A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B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C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11</w:t>
            </w:r>
          </w:p>
        </w:tc>
      </w:tr>
      <w:tr>
        <w:trPr>
          <w:trHeight w:hRule="atLeast" w:val="389"/>
        </w:trP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104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Административное мероприятие 2.001</w:t>
            </w:r>
          </w:p>
          <w:p w14:paraId="A204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«Организация деятельности детских и молодёжных общественных объединений на безе общеобразовательных организаций»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A304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A404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A504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6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7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8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9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A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B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C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>
        <w:trPr>
          <w:trHeight w:hRule="atLeast" w:val="389"/>
        </w:trP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B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B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B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C104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1</w:t>
            </w:r>
          </w:p>
          <w:p w14:paraId="C204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«Количество обучающихся, вовлечённых в деятельность общественных объединений на безе общеобразовательных организаций»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C304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C404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5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C6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44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7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C8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47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9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CA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B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CC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57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D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CE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F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0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104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2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76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7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8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9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A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B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C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D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E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F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0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1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2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3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4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5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604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704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Мероприятие 2.002 </w:t>
            </w:r>
            <w:r>
              <w:rPr>
                <w:rFonts w:ascii="Times New Roman" w:hAnsi="Times New Roman"/>
                <w:sz w:val="18"/>
              </w:rPr>
              <w:t xml:space="preserve"> «Организация деятельности молодёжного Совета Сандовского муниципального округа»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8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E9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A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EB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C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ED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EE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EF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0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1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2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3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404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504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604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7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8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9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A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B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C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D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E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F04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0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1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2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3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4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5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6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7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8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9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A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B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  1</w:t>
            </w:r>
          </w:p>
          <w:p w14:paraId="0C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«Количество заседаний молодежного Совета»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0D050000">
            <w:pPr>
              <w:pStyle w:val="Style_10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0E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F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10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11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12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13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14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15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16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17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18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19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A05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1B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C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D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E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F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0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1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2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3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4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5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6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7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8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9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A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B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C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D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E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2F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0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А</w:t>
            </w:r>
            <w:r>
              <w:rPr>
                <w:rFonts w:ascii="Times New Roman" w:hAnsi="Times New Roman"/>
                <w:b w:val="1"/>
                <w:sz w:val="18"/>
              </w:rPr>
              <w:t>дминистративное мероприятие  2.003</w:t>
            </w:r>
          </w:p>
          <w:p w14:paraId="31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«Проведение   мероприятий в сфере развития добровольчества»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32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3305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34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35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36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37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38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39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3A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3B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3C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3D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3E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3F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0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5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55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1</w:t>
            </w:r>
          </w:p>
          <w:p w14:paraId="56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 Численность обучающихся , вовлечённых в деятельность общественных объединений , в т. ч. волонтёрских и добровольческих»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57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5805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9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A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B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333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C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333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D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373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E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373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F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373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6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7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7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7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74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2</w:t>
            </w:r>
          </w:p>
          <w:p w14:paraId="75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Доля обучающихся</w:t>
            </w:r>
            <w:r>
              <w:rPr>
                <w:rFonts w:ascii="Times New Roman" w:hAnsi="Times New Roman"/>
                <w:b w:val="1"/>
                <w:sz w:val="18"/>
              </w:rPr>
              <w:t xml:space="preserve">,  </w:t>
            </w:r>
            <w:r>
              <w:rPr>
                <w:rFonts w:ascii="Times New Roman" w:hAnsi="Times New Roman"/>
                <w:sz w:val="18"/>
              </w:rPr>
              <w:t>вовлечённых в деятельность общественных объединений , в т. ч. волонтёрских и добровольческих»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76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</w:p>
          <w:p w14:paraId="7705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8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9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62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A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B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C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D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E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</w:t>
            </w:r>
          </w:p>
        </w:tc>
      </w:tr>
      <w:tr>
        <w:tc>
          <w:tcPr>
            <w:tcW w:type="dxa" w:w="491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7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8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93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3</w:t>
            </w:r>
          </w:p>
          <w:p w14:paraId="94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«Количество граждан, вовлечённых в добровольческую деятельность»</w:t>
            </w:r>
          </w:p>
        </w:tc>
        <w:tc>
          <w:tcPr>
            <w:tcW w:type="dxa" w:w="88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95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9605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type="dxa" w:w="448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7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514</w:t>
            </w:r>
          </w:p>
        </w:tc>
        <w:tc>
          <w:tcPr>
            <w:tcW w:type="dxa" w:w="444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8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514</w:t>
            </w:r>
          </w:p>
        </w:tc>
        <w:tc>
          <w:tcPr>
            <w:tcW w:type="dxa" w:w="44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9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W w:type="dxa" w:w="44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A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642</w:t>
            </w:r>
          </w:p>
        </w:tc>
        <w:tc>
          <w:tcPr>
            <w:tcW w:type="dxa" w:w="44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B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</w:t>
            </w:r>
          </w:p>
        </w:tc>
        <w:tc>
          <w:tcPr>
            <w:tcW w:type="dxa" w:w="448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C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</w:t>
            </w:r>
          </w:p>
        </w:tc>
        <w:tc>
          <w:tcPr>
            <w:tcW w:type="dxa" w:w="1028"/>
            <w:tcBorders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D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770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9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A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B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B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205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Административное мероприятие 2.004</w:t>
            </w:r>
          </w:p>
          <w:p w14:paraId="B305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«Ведение реестра детских и молодёжных общественных объединений в Сандовском муниципальном округе 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4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505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6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7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8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9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A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B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C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D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E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F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C005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C1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C205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C3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C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D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D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D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D8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1</w:t>
            </w:r>
          </w:p>
          <w:p w14:paraId="D905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«Число детских и молодежных общественных объединений»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A05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B05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C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D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E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F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0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1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E205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</w:tr>
      <w:tr>
        <w:tc>
          <w:tcPr>
            <w:tcW w:type="dxa" w:w="491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7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8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9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A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B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C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D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E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F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0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1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2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F3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4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5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605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F7050000">
            <w:pPr>
              <w:pStyle w:val="Style_1"/>
              <w:widowControl w:val="0"/>
              <w:spacing w:line="0" w:lineRule="atLeast"/>
              <w:ind w:firstLine="0" w:left="0"/>
              <w:jc w:val="both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Административное мероприятие 2.005</w:t>
            </w:r>
            <w:r>
              <w:rPr>
                <w:rFonts w:ascii="Times New Roman" w:hAnsi="Times New Roman"/>
                <w:sz w:val="18"/>
              </w:rPr>
              <w:t>. «Информирование молодёжи в части безопасного поведения, действий в чрезвычайных ситуациях»</w:t>
            </w:r>
          </w:p>
        </w:tc>
        <w:tc>
          <w:tcPr>
            <w:tcW w:type="dxa" w:w="88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8050000">
            <w:pPr>
              <w:pStyle w:val="Style_1"/>
              <w:widowControl w:val="0"/>
              <w:spacing w:line="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да/нет</w:t>
            </w:r>
          </w:p>
        </w:tc>
        <w:tc>
          <w:tcPr>
            <w:tcW w:type="dxa" w:w="448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9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type="dxa" w:w="444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A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type="dxa" w:w="44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B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type="dxa" w:w="44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C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type="dxa" w:w="44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D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type="dxa" w:w="448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E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  <w:tc>
          <w:tcPr>
            <w:tcW w:type="dxa" w:w="1028"/>
            <w:tcBorders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FF05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да</w:t>
            </w:r>
          </w:p>
        </w:tc>
      </w:tr>
      <w:tr>
        <w:tc>
          <w:tcPr>
            <w:tcW w:type="dxa" w:w="491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3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4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5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6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7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8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9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A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3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4060000">
            <w:pPr>
              <w:pStyle w:val="Style_1"/>
              <w:widowControl w:val="0"/>
              <w:spacing w:line="0" w:lineRule="atLeast"/>
              <w:ind/>
              <w:rPr>
                <w:sz w:val="18"/>
              </w:rPr>
            </w:pPr>
            <w:r>
              <w:rPr>
                <w:b w:val="1"/>
                <w:sz w:val="18"/>
              </w:rPr>
              <w:t>Показатель 1</w:t>
            </w:r>
            <w:r>
              <w:rPr>
                <w:sz w:val="18"/>
              </w:rPr>
              <w:t xml:space="preserve"> Доля молодёжи, информированной в части </w:t>
            </w:r>
            <w:r>
              <w:rPr>
                <w:rFonts w:ascii="Times New Roman" w:hAnsi="Times New Roman"/>
                <w:sz w:val="18"/>
              </w:rPr>
              <w:t>безопасного поведения, действий в чрезвычайных ситуациях»</w:t>
            </w:r>
          </w:p>
        </w:tc>
        <w:tc>
          <w:tcPr>
            <w:tcW w:type="dxa" w:w="88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15060000">
            <w:pPr>
              <w:pStyle w:val="Style_1"/>
              <w:widowControl w:val="0"/>
              <w:spacing w:line="0" w:lineRule="atLeast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процент</w:t>
            </w:r>
          </w:p>
        </w:tc>
        <w:tc>
          <w:tcPr>
            <w:tcW w:type="dxa" w:w="448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6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type="dxa" w:w="444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7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44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8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44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9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type="dxa" w:w="445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A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448"/>
            <w:tcBorders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B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type="dxa" w:w="1028"/>
            <w:tcBorders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C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3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4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5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6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7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8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9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A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2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2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3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1060000">
            <w:pPr>
              <w:pStyle w:val="Style_9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 xml:space="preserve">Задача 3 </w:t>
            </w:r>
            <w:r>
              <w:rPr>
                <w:rFonts w:ascii="Times New Roman" w:hAnsi="Times New Roman"/>
                <w:sz w:val="18"/>
              </w:rPr>
              <w:t>«Развитие деятельности, направленной на формирование здорового образа жизни»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2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3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4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6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7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8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39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A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3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3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4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5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6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7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8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9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4A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4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4E06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 1</w:t>
            </w:r>
          </w:p>
          <w:p w14:paraId="4F06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«</w:t>
            </w:r>
            <w:r>
              <w:rPr>
                <w:rFonts w:ascii="Times New Roman" w:hAnsi="Times New Roman"/>
                <w:sz w:val="18"/>
              </w:rPr>
              <w:t>Доля молодых граждан, участвующих в мероприятиях, направленных на формирование здорового образа жизни»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0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процент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1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2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32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3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34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4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36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6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7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C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D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E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5F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0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1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2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3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4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5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6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7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6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6C06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Мероприятие 3.001</w:t>
            </w:r>
          </w:p>
          <w:p w14:paraId="6D06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«Участие в региональном фестивале работающей молодёжи Тверской области»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6E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6F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Тыс. руб.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0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1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2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3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4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6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7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C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D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E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7F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0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1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2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3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4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5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6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7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8B06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1</w:t>
            </w:r>
          </w:p>
          <w:p w14:paraId="8C06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«Количество участников  фестиваля»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8D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8E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8F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0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245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1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2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255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3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4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5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265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6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7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C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D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E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9F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0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1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2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3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4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5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6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7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A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AA06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Административное  мероприятие 3.002</w:t>
            </w:r>
          </w:p>
          <w:p w14:paraId="AB06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«Проведение молодежных   мероприятий, направленных на формирование здорового образа жизни»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AC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AD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AE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AF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0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1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2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3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4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6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7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9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BA06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BB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C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D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E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BF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0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1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2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3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4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5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6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7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8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A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C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D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E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CF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D006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1</w:t>
            </w:r>
          </w:p>
          <w:p w14:paraId="D106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«Количество участников молодежных мероприятий»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D2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D3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человек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4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100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5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100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6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100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7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100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8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100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9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100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DA06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До 600</w:t>
            </w:r>
          </w:p>
        </w:tc>
      </w:tr>
      <w:tr>
        <w:trPr>
          <w:trHeight w:hRule="atLeast" w:val="529"/>
        </w:trP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DF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0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1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2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3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4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5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6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7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8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9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A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EB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C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D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E06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EF06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Административное мероприятие 3.003</w:t>
            </w:r>
          </w:p>
          <w:p w14:paraId="F0060000">
            <w:pPr>
              <w:pStyle w:val="Style_1"/>
              <w:widowControl w:val="0"/>
              <w:spacing w:line="276" w:lineRule="auto"/>
              <w:ind/>
              <w:jc w:val="both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«Информационное сопровождение  молодежной политики в Сандовском  муниципальном округе через газету «Сандовские вести»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106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206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Да/нет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3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4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5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6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7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8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9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A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B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C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D060000">
            <w:pPr>
              <w:pStyle w:val="Style_9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FE06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FF060000">
            <w:pPr>
              <w:pStyle w:val="Style_12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0007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да</w:t>
            </w:r>
          </w:p>
        </w:tc>
      </w:tr>
      <w:tr>
        <w:tc>
          <w:tcPr>
            <w:tcW w:type="dxa" w:w="49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1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4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2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2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3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2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4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3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5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6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0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7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7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8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9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A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3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B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C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D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E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4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0F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0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11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  <w:vAlign w:val="bottom"/>
          </w:tcPr>
          <w:p w14:paraId="11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72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2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55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3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38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4070000">
            <w:pPr>
              <w:pStyle w:val="Style_9"/>
              <w:widowControl w:val="0"/>
              <w:spacing w:line="276" w:lineRule="auto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79"/>
            <w:tcBorders>
              <w:top w:color="000080" w:sz="2" w:val="single"/>
              <w:left w:color="000080" w:sz="2" w:val="single"/>
              <w:bottom w:color="000080" w:sz="2" w:val="single"/>
            </w:tcBorders>
            <w:shd w:fill="auto" w:val="clear"/>
            <w:tcMar>
              <w:top w:type="dxa" w:w="0"/>
              <w:left w:type="dxa" w:w="2"/>
              <w:bottom w:type="dxa" w:w="0"/>
              <w:right w:type="dxa" w:w="0"/>
            </w:tcMar>
          </w:tcPr>
          <w:p w14:paraId="1507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Показатель 1</w:t>
            </w:r>
          </w:p>
          <w:p w14:paraId="16070000">
            <w:pPr>
              <w:pStyle w:val="Style_1"/>
              <w:widowControl w:val="0"/>
              <w:spacing w:line="276" w:lineRule="auto"/>
              <w:ind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«Количество публикаций»</w:t>
            </w:r>
          </w:p>
        </w:tc>
        <w:tc>
          <w:tcPr>
            <w:tcW w:type="dxa" w:w="88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</w:tcPr>
          <w:p w14:paraId="17070000">
            <w:pPr>
              <w:pStyle w:val="Style_1"/>
              <w:widowControl w:val="0"/>
              <w:spacing w:line="276" w:lineRule="auto"/>
              <w:ind/>
              <w:jc w:val="center"/>
              <w:rPr>
                <w:rFonts w:ascii="Times New Roman" w:hAnsi="Times New Roman"/>
                <w:sz w:val="18"/>
              </w:rPr>
            </w:pPr>
          </w:p>
          <w:p w14:paraId="18070000">
            <w:pPr>
              <w:pStyle w:val="Style_1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единиц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9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444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A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B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C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445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D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448"/>
            <w:tcBorders>
              <w:top w:color="000080" w:sz="2" w:val="single"/>
              <w:left w:color="000080" w:sz="2" w:val="single"/>
              <w:bottom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E070000">
            <w:pPr>
              <w:pStyle w:val="Style_9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type="dxa" w:w="1028"/>
            <w:tcBorders>
              <w:top w:color="000080" w:sz="2" w:val="single"/>
              <w:left w:color="000080" w:sz="2" w:val="single"/>
              <w:bottom w:color="000080" w:sz="2" w:val="single"/>
              <w:right w:color="000080" w:sz="2" w:val="single"/>
            </w:tcBorders>
            <w:tcMar>
              <w:top w:type="dxa" w:w="0"/>
              <w:left w:type="dxa" w:w="2"/>
              <w:bottom w:type="dxa" w:w="0"/>
              <w:right w:type="dxa" w:w="0"/>
            </w:tcMar>
            <w:vAlign w:val="center"/>
          </w:tcPr>
          <w:p w14:paraId="1F070000">
            <w:pPr>
              <w:pStyle w:val="Style_12"/>
              <w:widowControl w:val="0"/>
              <w:spacing w:line="276" w:lineRule="auto"/>
              <w:ind/>
              <w:jc w:val="center"/>
              <w:rPr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</w:t>
            </w:r>
          </w:p>
        </w:tc>
      </w:tr>
    </w:tbl>
    <w:p w14:paraId="20070000">
      <w:pPr>
        <w:pStyle w:val="Style_1"/>
        <w:tabs>
          <w:tab w:leader="none" w:pos="709" w:val="clear"/>
          <w:tab w:leader="none" w:pos="23247" w:val="left"/>
          <w:tab w:leader="none" w:pos="27358" w:val="left"/>
        </w:tabs>
        <w:ind w:firstLine="0" w:left="5103"/>
      </w:pPr>
    </w:p>
    <w:p w14:paraId="21070000">
      <w:pPr>
        <w:pStyle w:val="Style_1"/>
        <w:tabs>
          <w:tab w:leader="none" w:pos="709" w:val="clear"/>
          <w:tab w:leader="none" w:pos="23247" w:val="left"/>
          <w:tab w:leader="none" w:pos="27358" w:val="left"/>
        </w:tabs>
        <w:ind/>
      </w:pPr>
    </w:p>
    <w:p w14:paraId="22070000">
      <w:pPr>
        <w:pStyle w:val="Style_1"/>
        <w:tabs>
          <w:tab w:leader="none" w:pos="709" w:val="clear"/>
          <w:tab w:leader="none" w:pos="23247" w:val="left"/>
          <w:tab w:leader="none" w:pos="27358" w:val="left"/>
        </w:tabs>
        <w:ind w:firstLine="0" w:left="5103"/>
      </w:pPr>
    </w:p>
    <w:p w14:paraId="23070000">
      <w:pPr>
        <w:pStyle w:val="Style_11"/>
        <w:spacing w:after="0"/>
        <w:ind/>
        <w:rPr>
          <w:sz w:val="24"/>
        </w:rPr>
      </w:pPr>
      <w:r>
        <w:rPr>
          <w:rFonts w:ascii="Times New Roman" w:hAnsi="Times New Roman"/>
          <w:sz w:val="24"/>
        </w:rPr>
        <w:t xml:space="preserve">Управляющий делами Администрации </w:t>
      </w:r>
    </w:p>
    <w:p w14:paraId="24070000">
      <w:pPr>
        <w:pStyle w:val="Style_11"/>
        <w:spacing w:after="0"/>
        <w:ind/>
        <w:rPr>
          <w:sz w:val="24"/>
        </w:rPr>
      </w:pP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                                                                                           Г. И. Горохова</w:t>
      </w:r>
      <w:r>
        <w:rPr>
          <w:b w:val="1"/>
          <w:sz w:val="24"/>
        </w:rPr>
        <w:t xml:space="preserve">                              </w:t>
      </w:r>
    </w:p>
    <w:p w14:paraId="25070000">
      <w:pPr>
        <w:pStyle w:val="Style_1"/>
        <w:widowControl w:val="0"/>
        <w:tabs>
          <w:tab w:leader="none" w:pos="709" w:val="clear"/>
          <w:tab w:leader="none" w:pos="1134" w:val="left"/>
        </w:tabs>
        <w:spacing w:after="0" w:line="200" w:lineRule="atLeast"/>
        <w:ind/>
      </w:pPr>
    </w:p>
    <w:p w14:paraId="26070000">
      <w:pPr>
        <w:pStyle w:val="Style_1"/>
        <w:widowControl w:val="0"/>
        <w:tabs>
          <w:tab w:leader="none" w:pos="709" w:val="clear"/>
          <w:tab w:leader="none" w:pos="1134" w:val="left"/>
        </w:tabs>
        <w:spacing w:after="0" w:line="200" w:lineRule="atLeast"/>
        <w:ind/>
      </w:pPr>
    </w:p>
    <w:p w14:paraId="27070000">
      <w:pPr>
        <w:pStyle w:val="Style_2"/>
        <w:spacing w:after="120" w:before="0"/>
        <w:ind/>
      </w:pPr>
      <w:r>
        <w:rPr>
          <w:rFonts w:ascii="Times New Roman" w:hAnsi="Times New Roman"/>
        </w:rPr>
        <w:t xml:space="preserve">                                           </w:t>
      </w:r>
    </w:p>
    <w:p w14:paraId="28070000">
      <w:pPr>
        <w:pStyle w:val="Style_2"/>
        <w:spacing w:after="120" w:before="0"/>
        <w:ind/>
      </w:pPr>
    </w:p>
    <w:sectPr>
      <w:type w:val="nextPage"/>
      <w:pgSz w:h="11906" w:w="16838"/>
      <w:pgMar w:bottom="1077" w:footer="0" w:gutter="0" w:header="0" w:left="992" w:right="992" w:top="709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lvlText w:val=""/>
      <w:lvlJc w:val="left"/>
      <w:pPr>
        <w:tabs>
          <w:tab w:leader="none" w:pos="1080" w:val="left"/>
        </w:tabs>
        <w:ind w:hanging="360" w:left="1080"/>
      </w:pPr>
      <w:rPr>
        <w:rFonts w:ascii="Symbol" w:hAnsi="Symbol"/>
      </w:rPr>
    </w:lvl>
    <w:lvl w:ilvl="1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0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abstractNum w:abstractNumId="1">
    <w:lvl w:ilvl="0">
      <w:start w:val="1"/>
      <w:numFmt w:val="decimal"/>
      <w:pStyle w:val="Style_3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0" w:before="0"/>
      <w:ind/>
      <w:jc w:val="left"/>
    </w:pPr>
    <w:rPr>
      <w:rFonts w:ascii="Liberation Serif" w:hAnsi="Liberation Serif"/>
      <w:color w:val="000000"/>
      <w:sz w:val="24"/>
    </w:rPr>
  </w:style>
  <w:style w:default="1" w:styleId="Style_1_ch" w:type="character">
    <w:name w:val="Normal"/>
    <w:link w:val="Style_1"/>
    <w:rPr>
      <w:rFonts w:ascii="Liberation Serif" w:hAnsi="Liberation Serif"/>
      <w:color w:val="000000"/>
      <w:sz w:val="24"/>
    </w:rPr>
  </w:style>
  <w:style w:styleId="Style_13" w:type="paragraph">
    <w:name w:val="WW8Num2z7"/>
    <w:link w:val="Style_1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3_ch" w:type="character">
    <w:name w:val="WW8Num2z7"/>
    <w:link w:val="Style_13"/>
    <w:rPr>
      <w:rFonts w:ascii="Times New Roman" w:hAnsi="Times New Roman"/>
      <w:color w:val="000000"/>
      <w:sz w:val="20"/>
    </w:rPr>
  </w:style>
  <w:style w:styleId="Style_14" w:type="paragraph">
    <w:name w:val="toc 2"/>
    <w:next w:val="Style_1"/>
    <w:link w:val="Style_14_ch"/>
    <w:uiPriority w:val="39"/>
    <w:pPr>
      <w:widowControl w:val="1"/>
      <w:spacing w:after="0" w:before="0"/>
      <w:ind w:firstLine="0" w:left="200"/>
      <w:jc w:val="left"/>
    </w:pPr>
    <w:rPr>
      <w:rFonts w:ascii="Times New Roman" w:hAnsi="Times New Roman"/>
      <w:color w:val="000000"/>
      <w:sz w:val="20"/>
    </w:rPr>
  </w:style>
  <w:style w:styleId="Style_14_ch" w:type="character">
    <w:name w:val="toc 2"/>
    <w:link w:val="Style_14"/>
    <w:rPr>
      <w:rFonts w:ascii="Times New Roman" w:hAnsi="Times New Roman"/>
      <w:color w:val="000000"/>
      <w:sz w:val="20"/>
    </w:rPr>
  </w:style>
  <w:style w:styleId="Style_8" w:type="paragraph">
    <w:name w:val="Strong"/>
    <w:link w:val="Style_8_ch"/>
    <w:rPr>
      <w:b w:val="1"/>
    </w:rPr>
  </w:style>
  <w:style w:styleId="Style_8_ch" w:type="character">
    <w:name w:val="Strong"/>
    <w:link w:val="Style_8"/>
    <w:rPr>
      <w:b w:val="1"/>
    </w:rPr>
  </w:style>
  <w:style w:styleId="Style_12" w:type="paragraph">
    <w:name w:val="Н3fcdо3feeр3ff0м3fecа3fe0л3febь3ffcн3fedы3ffbй3fe9 (т3ff2а3fe0б3fe1л3febи3fe8ц3ff6а3fe0)"/>
    <w:basedOn w:val="Style_1"/>
    <w:link w:val="Style_12_ch"/>
    <w:pPr>
      <w:widowControl w:val="0"/>
      <w:ind/>
    </w:pPr>
    <w:rPr>
      <w:rFonts w:ascii="Arial" w:hAnsi="Arial"/>
    </w:rPr>
  </w:style>
  <w:style w:styleId="Style_12_ch" w:type="character">
    <w:name w:val="Н3fcdо3feeр3ff0м3fecа3fe0л3febь3ffcн3fedы3ffbй3fe9 (т3ff2а3fe0б3fe1л3febи3fe8ц3ff6а3fe0)"/>
    <w:basedOn w:val="Style_1_ch"/>
    <w:link w:val="Style_12"/>
    <w:rPr>
      <w:rFonts w:ascii="Arial" w:hAnsi="Arial"/>
    </w:rPr>
  </w:style>
  <w:style w:styleId="Style_15" w:type="paragraph">
    <w:name w:val="toc 4"/>
    <w:next w:val="Style_1"/>
    <w:link w:val="Style_15_ch"/>
    <w:uiPriority w:val="39"/>
    <w:pPr>
      <w:widowControl w:val="1"/>
      <w:spacing w:after="0" w:before="0"/>
      <w:ind w:firstLine="0" w:left="600"/>
      <w:jc w:val="left"/>
    </w:pPr>
    <w:rPr>
      <w:rFonts w:ascii="Times New Roman" w:hAnsi="Times New Roman"/>
      <w:color w:val="000000"/>
      <w:sz w:val="20"/>
    </w:rPr>
  </w:style>
  <w:style w:styleId="Style_15_ch" w:type="character">
    <w:name w:val="toc 4"/>
    <w:link w:val="Style_15"/>
    <w:rPr>
      <w:rFonts w:ascii="Times New Roman" w:hAnsi="Times New Roman"/>
      <w:color w:val="000000"/>
      <w:sz w:val="20"/>
    </w:rPr>
  </w:style>
  <w:style w:styleId="Style_16" w:type="paragraph">
    <w:name w:val="WW8Num1z7"/>
    <w:link w:val="Style_16_ch"/>
  </w:style>
  <w:style w:styleId="Style_16_ch" w:type="character">
    <w:name w:val="WW8Num1z7"/>
    <w:link w:val="Style_16"/>
  </w:style>
  <w:style w:styleId="Style_17" w:type="paragraph">
    <w:name w:val="toc 6"/>
    <w:next w:val="Style_1"/>
    <w:link w:val="Style_17_ch"/>
    <w:uiPriority w:val="39"/>
    <w:pPr>
      <w:widowControl w:val="1"/>
      <w:spacing w:after="0" w:before="0"/>
      <w:ind w:firstLine="0" w:left="1000"/>
      <w:jc w:val="left"/>
    </w:pPr>
    <w:rPr>
      <w:rFonts w:ascii="Times New Roman" w:hAnsi="Times New Roman"/>
      <w:color w:val="000000"/>
      <w:sz w:val="20"/>
    </w:rPr>
  </w:style>
  <w:style w:styleId="Style_17_ch" w:type="character">
    <w:name w:val="toc 6"/>
    <w:link w:val="Style_17"/>
    <w:rPr>
      <w:rFonts w:ascii="Times New Roman" w:hAnsi="Times New Roman"/>
      <w:color w:val="000000"/>
      <w:sz w:val="20"/>
    </w:rPr>
  </w:style>
  <w:style w:styleId="Style_18" w:type="paragraph">
    <w:name w:val="Заголовок"/>
    <w:basedOn w:val="Style_1"/>
    <w:next w:val="Style_2"/>
    <w:link w:val="Style_1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8_ch" w:type="character">
    <w:name w:val="Заголовок"/>
    <w:basedOn w:val="Style_1_ch"/>
    <w:link w:val="Style_18"/>
    <w:rPr>
      <w:rFonts w:ascii="Liberation Sans" w:hAnsi="Liberation Sans"/>
      <w:sz w:val="28"/>
    </w:rPr>
  </w:style>
  <w:style w:styleId="Style_19" w:type="paragraph">
    <w:name w:val="Верхний и нижний колонтитулы"/>
    <w:link w:val="Style_19_ch"/>
    <w:pPr>
      <w:widowControl w:val="1"/>
      <w:spacing w:after="0" w:before="0" w:line="360" w:lineRule="auto"/>
      <w:ind/>
      <w:jc w:val="left"/>
    </w:pPr>
    <w:rPr>
      <w:rFonts w:ascii="XO Thames" w:hAnsi="XO Thames"/>
      <w:color w:val="000000"/>
      <w:sz w:val="20"/>
    </w:rPr>
  </w:style>
  <w:style w:styleId="Style_19_ch" w:type="character">
    <w:name w:val="Верхний и нижний колонтитулы"/>
    <w:link w:val="Style_19"/>
    <w:rPr>
      <w:rFonts w:ascii="XO Thames" w:hAnsi="XO Thames"/>
      <w:color w:val="000000"/>
      <w:sz w:val="20"/>
    </w:rPr>
  </w:style>
  <w:style w:styleId="Style_20" w:type="paragraph">
    <w:name w:val="WW8Num2z8"/>
    <w:link w:val="Style_20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0_ch" w:type="character">
    <w:name w:val="WW8Num2z8"/>
    <w:link w:val="Style_20"/>
    <w:rPr>
      <w:rFonts w:ascii="Times New Roman" w:hAnsi="Times New Roman"/>
      <w:color w:val="000000"/>
      <w:sz w:val="20"/>
    </w:rPr>
  </w:style>
  <w:style w:styleId="Style_21" w:type="paragraph">
    <w:name w:val="toc 7"/>
    <w:next w:val="Style_1"/>
    <w:link w:val="Style_21_ch"/>
    <w:uiPriority w:val="39"/>
    <w:pPr>
      <w:widowControl w:val="1"/>
      <w:spacing w:after="0" w:before="0"/>
      <w:ind w:firstLine="0" w:left="1200"/>
      <w:jc w:val="left"/>
    </w:pPr>
    <w:rPr>
      <w:rFonts w:ascii="Times New Roman" w:hAnsi="Times New Roman"/>
      <w:color w:val="000000"/>
      <w:sz w:val="20"/>
    </w:rPr>
  </w:style>
  <w:style w:styleId="Style_21_ch" w:type="character">
    <w:name w:val="toc 7"/>
    <w:link w:val="Style_21"/>
    <w:rPr>
      <w:rFonts w:ascii="Times New Roman" w:hAnsi="Times New Roman"/>
      <w:color w:val="000000"/>
      <w:sz w:val="20"/>
    </w:rPr>
  </w:style>
  <w:style w:styleId="Style_22" w:type="paragraph">
    <w:name w:val="WW8Num2z3"/>
    <w:link w:val="Style_22_ch"/>
  </w:style>
  <w:style w:styleId="Style_22_ch" w:type="character">
    <w:name w:val="WW8Num2z3"/>
    <w:link w:val="Style_22"/>
  </w:style>
  <w:style w:styleId="Style_23" w:type="paragraph">
    <w:name w:val="WW8Num1z3"/>
    <w:link w:val="Style_2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3_ch" w:type="character">
    <w:name w:val="WW8Num1z3"/>
    <w:link w:val="Style_23"/>
    <w:rPr>
      <w:rFonts w:ascii="Times New Roman" w:hAnsi="Times New Roman"/>
      <w:color w:val="000000"/>
      <w:sz w:val="20"/>
    </w:rPr>
  </w:style>
  <w:style w:styleId="Style_24" w:type="paragraph">
    <w:name w:val="Стандартный HTML Знак"/>
    <w:basedOn w:val="Style_25"/>
    <w:link w:val="Style_24_ch"/>
    <w:rPr>
      <w:rFonts w:ascii="Courier New" w:hAnsi="Courier New"/>
      <w:color w:val="000000"/>
      <w:sz w:val="20"/>
    </w:rPr>
  </w:style>
  <w:style w:styleId="Style_24_ch" w:type="character">
    <w:name w:val="Стандартный HTML Знак"/>
    <w:basedOn w:val="Style_25_ch"/>
    <w:link w:val="Style_24"/>
    <w:rPr>
      <w:rFonts w:ascii="Courier New" w:hAnsi="Courier New"/>
      <w:color w:val="000000"/>
      <w:sz w:val="20"/>
    </w:rPr>
  </w:style>
  <w:style w:styleId="Style_4" w:type="paragraph">
    <w:name w:val="Содержимое таблицы"/>
    <w:basedOn w:val="Style_1"/>
    <w:link w:val="Style_4_ch"/>
    <w:pPr>
      <w:widowControl w:val="0"/>
      <w:ind/>
    </w:pPr>
    <w:rPr>
      <w:rFonts w:ascii="Calibri" w:hAnsi="Calibri"/>
      <w:sz w:val="22"/>
    </w:rPr>
  </w:style>
  <w:style w:styleId="Style_4_ch" w:type="character">
    <w:name w:val="Содержимое таблицы"/>
    <w:basedOn w:val="Style_1_ch"/>
    <w:link w:val="Style_4"/>
    <w:rPr>
      <w:rFonts w:ascii="Calibri" w:hAnsi="Calibri"/>
      <w:sz w:val="22"/>
    </w:rPr>
  </w:style>
  <w:style w:styleId="Style_26" w:type="paragraph">
    <w:name w:val="WW8Num1z8"/>
    <w:link w:val="Style_2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26_ch" w:type="character">
    <w:name w:val="WW8Num1z8"/>
    <w:link w:val="Style_26"/>
    <w:rPr>
      <w:rFonts w:ascii="Times New Roman" w:hAnsi="Times New Roman"/>
      <w:color w:val="000000"/>
      <w:sz w:val="20"/>
    </w:rPr>
  </w:style>
  <w:style w:styleId="Style_27" w:type="paragraph">
    <w:name w:val="heading 3"/>
    <w:next w:val="Style_1"/>
    <w:link w:val="Style_27_ch"/>
    <w:uiPriority w:val="9"/>
    <w:qFormat/>
    <w:pPr>
      <w:widowControl w:val="1"/>
      <w:spacing w:after="0" w:before="0"/>
      <w:ind/>
      <w:jc w:val="left"/>
      <w:outlineLvl w:val="2"/>
    </w:pPr>
    <w:rPr>
      <w:rFonts w:ascii="XO Thames" w:hAnsi="XO Thames"/>
      <w:b w:val="1"/>
      <w:i w:val="1"/>
      <w:color w:val="000000"/>
      <w:sz w:val="20"/>
    </w:rPr>
  </w:style>
  <w:style w:styleId="Style_27_ch" w:type="character">
    <w:name w:val="heading 3"/>
    <w:link w:val="Style_27"/>
    <w:rPr>
      <w:rFonts w:ascii="XO Thames" w:hAnsi="XO Thames"/>
      <w:b w:val="1"/>
      <w:i w:val="1"/>
      <w:color w:val="000000"/>
      <w:sz w:val="20"/>
    </w:rPr>
  </w:style>
  <w:style w:styleId="Style_28" w:type="paragraph">
    <w:name w:val="Н3fcdо3feeр3ff0м3fecа3fe0л3febь3ffcн3fedы3ffbй3fe9 (т3ff2а3fe0б3fe1л3febи3fe8ц3ff6а3fe0)"/>
    <w:basedOn w:val="Style_25"/>
    <w:link w:val="Style_28_ch"/>
    <w:rPr>
      <w:rFonts w:ascii="Arial" w:hAnsi="Arial"/>
      <w:color w:val="000000"/>
    </w:rPr>
  </w:style>
  <w:style w:styleId="Style_28_ch" w:type="character">
    <w:name w:val="Н3fcdо3feeр3ff0м3fecа3fe0л3febь3ffcн3fedы3ffbй3fe9 (т3ff2а3fe0б3fe1л3febи3fe8ц3ff6а3fe0)"/>
    <w:basedOn w:val="Style_25_ch"/>
    <w:link w:val="Style_28"/>
    <w:rPr>
      <w:rFonts w:ascii="Arial" w:hAnsi="Arial"/>
      <w:color w:val="000000"/>
    </w:rPr>
  </w:style>
  <w:style w:styleId="Style_29" w:type="paragraph">
    <w:name w:val="Указатель1"/>
    <w:basedOn w:val="Style_1"/>
    <w:link w:val="Style_29_ch"/>
  </w:style>
  <w:style w:styleId="Style_29_ch" w:type="character">
    <w:name w:val="Указатель1"/>
    <w:basedOn w:val="Style_1_ch"/>
    <w:link w:val="Style_29"/>
  </w:style>
  <w:style w:styleId="Style_30" w:type="paragraph">
    <w:name w:val="Оглавление 9 Знак"/>
    <w:link w:val="Style_30_ch"/>
  </w:style>
  <w:style w:styleId="Style_30_ch" w:type="character">
    <w:name w:val="Оглавление 9 Знак"/>
    <w:link w:val="Style_30"/>
  </w:style>
  <w:style w:styleId="Style_2" w:type="paragraph">
    <w:name w:val="Body Text"/>
    <w:basedOn w:val="Style_1"/>
    <w:link w:val="Style_2_ch"/>
    <w:pPr>
      <w:spacing w:after="140" w:before="0" w:line="288" w:lineRule="auto"/>
      <w:ind/>
    </w:pPr>
  </w:style>
  <w:style w:styleId="Style_2_ch" w:type="character">
    <w:name w:val="Body Text"/>
    <w:basedOn w:val="Style_1_ch"/>
    <w:link w:val="Style_2"/>
  </w:style>
  <w:style w:styleId="Style_31" w:type="paragraph">
    <w:name w:val="WW8Num1z5"/>
    <w:link w:val="Style_31_ch"/>
  </w:style>
  <w:style w:styleId="Style_31_ch" w:type="character">
    <w:name w:val="WW8Num1z5"/>
    <w:link w:val="Style_31"/>
  </w:style>
  <w:style w:styleId="Style_32" w:type="paragraph">
    <w:name w:val="WW-Базовый"/>
    <w:link w:val="Style_32_ch"/>
    <w:rPr>
      <w:rFonts w:ascii="Calibri" w:hAnsi="Calibri"/>
      <w:sz w:val="22"/>
    </w:rPr>
  </w:style>
  <w:style w:styleId="Style_32_ch" w:type="character">
    <w:name w:val="WW-Базовый"/>
    <w:link w:val="Style_32"/>
    <w:rPr>
      <w:rFonts w:ascii="Calibri" w:hAnsi="Calibri"/>
      <w:sz w:val="22"/>
    </w:rPr>
  </w:style>
  <w:style w:styleId="Style_33" w:type="paragraph">
    <w:name w:val="WW8Num1z1"/>
    <w:link w:val="Style_33_ch"/>
  </w:style>
  <w:style w:styleId="Style_33_ch" w:type="character">
    <w:name w:val="WW8Num1z1"/>
    <w:link w:val="Style_33"/>
  </w:style>
  <w:style w:styleId="Style_34" w:type="paragraph">
    <w:name w:val="WW8Num1z1"/>
    <w:link w:val="Style_3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34_ch" w:type="character">
    <w:name w:val="WW8Num1z1"/>
    <w:link w:val="Style_34"/>
    <w:rPr>
      <w:rFonts w:ascii="Times New Roman" w:hAnsi="Times New Roman"/>
      <w:color w:val="000000"/>
      <w:sz w:val="20"/>
    </w:rPr>
  </w:style>
  <w:style w:styleId="Style_35" w:type="paragraph">
    <w:name w:val="Название объекта1"/>
    <w:basedOn w:val="Style_25"/>
    <w:link w:val="Style_35_ch"/>
    <w:rPr>
      <w:i w:val="1"/>
      <w:sz w:val="24"/>
    </w:rPr>
  </w:style>
  <w:style w:styleId="Style_35_ch" w:type="character">
    <w:name w:val="Название объекта1"/>
    <w:basedOn w:val="Style_25_ch"/>
    <w:link w:val="Style_35"/>
    <w:rPr>
      <w:i w:val="1"/>
      <w:sz w:val="24"/>
    </w:rPr>
  </w:style>
  <w:style w:styleId="Style_36" w:type="paragraph">
    <w:name w:val="WW8Num2z5"/>
    <w:link w:val="Style_3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36_ch" w:type="character">
    <w:name w:val="WW8Num2z5"/>
    <w:link w:val="Style_36"/>
    <w:rPr>
      <w:rFonts w:ascii="Times New Roman" w:hAnsi="Times New Roman"/>
      <w:color w:val="000000"/>
      <w:sz w:val="20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11" w:type="paragraph">
    <w:name w:val="WW-Базовый"/>
    <w:link w:val="Style_11_ch"/>
    <w:pPr>
      <w:widowControl w:val="1"/>
      <w:tabs>
        <w:tab w:leader="none" w:pos="709" w:val="left"/>
      </w:tabs>
      <w:spacing w:after="200" w:before="0" w:line="276" w:lineRule="atLeast"/>
      <w:ind/>
      <w:jc w:val="left"/>
    </w:pPr>
    <w:rPr>
      <w:rFonts w:ascii="Calibri" w:hAnsi="Calibri"/>
      <w:color w:val="000000"/>
      <w:sz w:val="22"/>
    </w:rPr>
  </w:style>
  <w:style w:styleId="Style_11_ch" w:type="character">
    <w:name w:val="WW-Базовый"/>
    <w:link w:val="Style_11"/>
    <w:rPr>
      <w:rFonts w:ascii="Calibri" w:hAnsi="Calibri"/>
      <w:color w:val="000000"/>
      <w:sz w:val="22"/>
    </w:rPr>
  </w:style>
  <w:style w:styleId="Style_38" w:type="paragraph">
    <w:name w:val="WW8Num1z5"/>
    <w:link w:val="Style_3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38_ch" w:type="character">
    <w:name w:val="WW8Num1z5"/>
    <w:link w:val="Style_38"/>
    <w:rPr>
      <w:rFonts w:ascii="Times New Roman" w:hAnsi="Times New Roman"/>
      <w:color w:val="000000"/>
      <w:sz w:val="20"/>
    </w:rPr>
  </w:style>
  <w:style w:styleId="Style_39" w:type="paragraph">
    <w:name w:val="Содержимое таблицы"/>
    <w:basedOn w:val="Style_25"/>
    <w:link w:val="Style_39_ch"/>
    <w:rPr>
      <w:rFonts w:ascii="Calibri" w:hAnsi="Calibri"/>
      <w:color w:val="000000"/>
      <w:sz w:val="22"/>
    </w:rPr>
  </w:style>
  <w:style w:styleId="Style_39_ch" w:type="character">
    <w:name w:val="Содержимое таблицы"/>
    <w:basedOn w:val="Style_25_ch"/>
    <w:link w:val="Style_39"/>
    <w:rPr>
      <w:rFonts w:ascii="Calibri" w:hAnsi="Calibri"/>
      <w:color w:val="000000"/>
      <w:sz w:val="22"/>
    </w:rPr>
  </w:style>
  <w:style w:styleId="Style_40" w:type="paragraph">
    <w:name w:val="П3fcfр3ff0и3fe8ж3fe6а3fe0т3ff2ы3ffbй3fe9 в3fe2л3febе3fe5в3fe2о3fee"/>
    <w:basedOn w:val="Style_25"/>
    <w:link w:val="Style_40_ch"/>
    <w:rPr>
      <w:rFonts w:ascii="Arial" w:hAnsi="Arial"/>
      <w:color w:val="000000"/>
    </w:rPr>
  </w:style>
  <w:style w:styleId="Style_40_ch" w:type="character">
    <w:name w:val="П3fcfр3ff0и3fe8ж3fe6а3fe0т3ff2ы3ffbй3fe9 в3fe2л3febе3fe5в3fe2о3fee"/>
    <w:basedOn w:val="Style_25_ch"/>
    <w:link w:val="Style_40"/>
    <w:rPr>
      <w:rFonts w:ascii="Arial" w:hAnsi="Arial"/>
      <w:color w:val="000000"/>
    </w:rPr>
  </w:style>
  <w:style w:styleId="Style_41" w:type="paragraph">
    <w:name w:val="caption"/>
    <w:basedOn w:val="Style_1"/>
    <w:link w:val="Style_41_ch"/>
    <w:pPr>
      <w:spacing w:after="120" w:before="120"/>
      <w:ind/>
    </w:pPr>
    <w:rPr>
      <w:i w:val="1"/>
    </w:rPr>
  </w:style>
  <w:style w:styleId="Style_41_ch" w:type="character">
    <w:name w:val="caption"/>
    <w:basedOn w:val="Style_1_ch"/>
    <w:link w:val="Style_41"/>
    <w:rPr>
      <w:i w:val="1"/>
    </w:rPr>
  </w:style>
  <w:style w:styleId="Style_42" w:type="paragraph">
    <w:name w:val="Название Знак"/>
    <w:link w:val="Style_42_ch"/>
    <w:rPr>
      <w:rFonts w:ascii="XO Thames" w:hAnsi="XO Thames"/>
      <w:b w:val="1"/>
      <w:sz w:val="52"/>
    </w:rPr>
  </w:style>
  <w:style w:styleId="Style_42_ch" w:type="character">
    <w:name w:val="Название Знак"/>
    <w:link w:val="Style_42"/>
    <w:rPr>
      <w:rFonts w:ascii="XO Thames" w:hAnsi="XO Thames"/>
      <w:b w:val="1"/>
      <w:sz w:val="52"/>
    </w:rPr>
  </w:style>
  <w:style w:styleId="Style_43" w:type="paragraph">
    <w:name w:val="WW8Num1z2"/>
    <w:link w:val="Style_43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43_ch" w:type="character">
    <w:name w:val="WW8Num1z2"/>
    <w:link w:val="Style_43"/>
    <w:rPr>
      <w:rFonts w:ascii="Times New Roman" w:hAnsi="Times New Roman"/>
      <w:color w:val="000000"/>
      <w:sz w:val="20"/>
    </w:rPr>
  </w:style>
  <w:style w:styleId="Style_44" w:type="paragraph">
    <w:name w:val="Caption"/>
    <w:basedOn w:val="Style_1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Caption"/>
    <w:basedOn w:val="Style_1_ch"/>
    <w:link w:val="Style_44"/>
    <w:rPr>
      <w:i w:val="1"/>
      <w:sz w:val="24"/>
    </w:rPr>
  </w:style>
  <w:style w:styleId="Style_45" w:type="paragraph">
    <w:name w:val="WW8Num1z8"/>
    <w:link w:val="Style_45_ch"/>
  </w:style>
  <w:style w:styleId="Style_45_ch" w:type="character">
    <w:name w:val="WW8Num1z8"/>
    <w:link w:val="Style_45"/>
  </w:style>
  <w:style w:styleId="Style_46" w:type="paragraph">
    <w:name w:val="WW8Num2z6"/>
    <w:link w:val="Style_4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46_ch" w:type="character">
    <w:name w:val="WW8Num2z6"/>
    <w:link w:val="Style_46"/>
    <w:rPr>
      <w:rFonts w:ascii="Times New Roman" w:hAnsi="Times New Roman"/>
      <w:color w:val="000000"/>
      <w:sz w:val="20"/>
    </w:rPr>
  </w:style>
  <w:style w:styleId="Style_47" w:type="paragraph">
    <w:name w:val="Основной текст Знак"/>
    <w:basedOn w:val="Style_25"/>
    <w:link w:val="Style_47_ch"/>
  </w:style>
  <w:style w:styleId="Style_47_ch" w:type="character">
    <w:name w:val="Основной текст Знак"/>
    <w:basedOn w:val="Style_25_ch"/>
    <w:link w:val="Style_47"/>
  </w:style>
  <w:style w:styleId="Style_48" w:type="paragraph">
    <w:name w:val="Заголовок таблицы"/>
    <w:basedOn w:val="Style_39"/>
    <w:link w:val="Style_48_ch"/>
    <w:rPr>
      <w:b w:val="1"/>
    </w:rPr>
  </w:style>
  <w:style w:styleId="Style_48_ch" w:type="character">
    <w:name w:val="Заголовок таблицы"/>
    <w:basedOn w:val="Style_39_ch"/>
    <w:link w:val="Style_48"/>
    <w:rPr>
      <w:b w:val="1"/>
    </w:rPr>
  </w:style>
  <w:style w:styleId="Style_49" w:type="paragraph">
    <w:name w:val="WW8Num1z4"/>
    <w:link w:val="Style_49_ch"/>
  </w:style>
  <w:style w:styleId="Style_49_ch" w:type="character">
    <w:name w:val="WW8Num1z4"/>
    <w:link w:val="Style_49"/>
  </w:style>
  <w:style w:styleId="Style_50" w:type="paragraph">
    <w:name w:val="Заголовок1"/>
    <w:basedOn w:val="Style_1"/>
    <w:next w:val="Style_2"/>
    <w:link w:val="Style_50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0_ch" w:type="character">
    <w:name w:val="Заголовок1"/>
    <w:basedOn w:val="Style_1_ch"/>
    <w:link w:val="Style_50"/>
    <w:rPr>
      <w:rFonts w:ascii="Liberation Sans" w:hAnsi="Liberation Sans"/>
      <w:sz w:val="28"/>
    </w:rPr>
  </w:style>
  <w:style w:styleId="Style_51" w:type="paragraph">
    <w:name w:val="Подзаголовок Знак"/>
    <w:link w:val="Style_51_ch"/>
    <w:rPr>
      <w:rFonts w:ascii="XO Thames" w:hAnsi="XO Thames"/>
      <w:i w:val="1"/>
      <w:color w:val="616161"/>
      <w:sz w:val="24"/>
    </w:rPr>
  </w:style>
  <w:style w:styleId="Style_51_ch" w:type="character">
    <w:name w:val="Подзаголовок Знак"/>
    <w:link w:val="Style_51"/>
    <w:rPr>
      <w:rFonts w:ascii="XO Thames" w:hAnsi="XO Thames"/>
      <w:i w:val="1"/>
      <w:color w:val="616161"/>
      <w:sz w:val="24"/>
    </w:rPr>
  </w:style>
  <w:style w:styleId="Style_52" w:type="paragraph">
    <w:name w:val="Название объекта1"/>
    <w:basedOn w:val="Style_1"/>
    <w:link w:val="Style_52_ch"/>
    <w:pPr>
      <w:spacing w:after="120" w:before="120"/>
      <w:ind/>
    </w:pPr>
    <w:rPr>
      <w:i w:val="1"/>
    </w:rPr>
  </w:style>
  <w:style w:styleId="Style_52_ch" w:type="character">
    <w:name w:val="Название объекта1"/>
    <w:basedOn w:val="Style_1_ch"/>
    <w:link w:val="Style_52"/>
    <w:rPr>
      <w:i w:val="1"/>
    </w:rPr>
  </w:style>
  <w:style w:styleId="Style_53" w:type="paragraph">
    <w:name w:val="WW8Num2z0"/>
    <w:link w:val="Style_53_ch"/>
    <w:rPr>
      <w:rFonts w:ascii="Symbol" w:hAnsi="Symbol"/>
    </w:rPr>
  </w:style>
  <w:style w:styleId="Style_53_ch" w:type="character">
    <w:name w:val="WW8Num2z0"/>
    <w:link w:val="Style_53"/>
    <w:rPr>
      <w:rFonts w:ascii="Symbol" w:hAnsi="Symbol"/>
    </w:rPr>
  </w:style>
  <w:style w:styleId="Style_54" w:type="paragraph">
    <w:name w:val="toc 3"/>
    <w:next w:val="Style_1"/>
    <w:link w:val="Style_54_ch"/>
    <w:uiPriority w:val="39"/>
    <w:pPr>
      <w:widowControl w:val="1"/>
      <w:spacing w:after="0" w:before="0"/>
      <w:ind w:firstLine="0" w:left="400"/>
      <w:jc w:val="left"/>
    </w:pPr>
    <w:rPr>
      <w:rFonts w:ascii="Times New Roman" w:hAnsi="Times New Roman"/>
      <w:color w:val="000000"/>
      <w:sz w:val="20"/>
    </w:rPr>
  </w:style>
  <w:style w:styleId="Style_54_ch" w:type="character">
    <w:name w:val="toc 3"/>
    <w:link w:val="Style_54"/>
    <w:rPr>
      <w:rFonts w:ascii="Times New Roman" w:hAnsi="Times New Roman"/>
      <w:color w:val="000000"/>
      <w:sz w:val="20"/>
    </w:rPr>
  </w:style>
  <w:style w:styleId="Style_55" w:type="paragraph">
    <w:name w:val="Заголовок1"/>
    <w:basedOn w:val="Style_25"/>
    <w:link w:val="Style_55_ch"/>
    <w:rPr>
      <w:rFonts w:ascii="Liberation Sans" w:hAnsi="Liberation Sans"/>
      <w:sz w:val="28"/>
    </w:rPr>
  </w:style>
  <w:style w:styleId="Style_55_ch" w:type="character">
    <w:name w:val="Заголовок1"/>
    <w:basedOn w:val="Style_25_ch"/>
    <w:link w:val="Style_55"/>
    <w:rPr>
      <w:rFonts w:ascii="Liberation Sans" w:hAnsi="Liberation Sans"/>
      <w:sz w:val="28"/>
    </w:rPr>
  </w:style>
  <w:style w:styleId="Style_56" w:type="paragraph">
    <w:name w:val="WW8Num1z0"/>
    <w:link w:val="Style_56_ch"/>
  </w:style>
  <w:style w:styleId="Style_56_ch" w:type="character">
    <w:name w:val="WW8Num1z0"/>
    <w:link w:val="Style_56"/>
  </w:style>
  <w:style w:styleId="Style_57" w:type="paragraph">
    <w:name w:val="WW8Num2z2"/>
    <w:link w:val="Style_5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57_ch" w:type="character">
    <w:name w:val="WW8Num2z2"/>
    <w:link w:val="Style_57"/>
    <w:rPr>
      <w:rFonts w:ascii="Times New Roman" w:hAnsi="Times New Roman"/>
      <w:color w:val="000000"/>
      <w:sz w:val="20"/>
    </w:rPr>
  </w:style>
  <w:style w:styleId="Style_58" w:type="paragraph">
    <w:name w:val="Footnote"/>
    <w:link w:val="Style_58_ch"/>
    <w:rPr>
      <w:rFonts w:ascii="XO Thames" w:hAnsi="XO Thames"/>
      <w:sz w:val="22"/>
    </w:rPr>
  </w:style>
  <w:style w:styleId="Style_58_ch" w:type="character">
    <w:name w:val="Footnote"/>
    <w:link w:val="Style_58"/>
    <w:rPr>
      <w:rFonts w:ascii="XO Thames" w:hAnsi="XO Thames"/>
      <w:sz w:val="22"/>
    </w:rPr>
  </w:style>
  <w:style w:styleId="Style_59" w:type="paragraph">
    <w:name w:val="WW8Num1z6"/>
    <w:link w:val="Style_5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59_ch" w:type="character">
    <w:name w:val="WW8Num1z6"/>
    <w:link w:val="Style_59"/>
    <w:rPr>
      <w:rFonts w:ascii="Times New Roman" w:hAnsi="Times New Roman"/>
      <w:color w:val="000000"/>
      <w:sz w:val="20"/>
    </w:rPr>
  </w:style>
  <w:style w:styleId="Style_25" w:type="paragraph">
    <w:name w:val="Обычный1"/>
    <w:link w:val="Style_25_ch"/>
    <w:rPr>
      <w:rFonts w:ascii="Liberation Serif" w:hAnsi="Liberation Serif"/>
      <w:sz w:val="24"/>
    </w:rPr>
  </w:style>
  <w:style w:styleId="Style_25_ch" w:type="character">
    <w:name w:val="Обычный1"/>
    <w:link w:val="Style_25"/>
    <w:rPr>
      <w:rFonts w:ascii="Liberation Serif" w:hAnsi="Liberation Serif"/>
      <w:sz w:val="24"/>
    </w:rPr>
  </w:style>
  <w:style w:styleId="Style_60" w:type="paragraph">
    <w:name w:val="Название объекта Знак"/>
    <w:basedOn w:val="Style_25"/>
    <w:link w:val="Style_60_ch"/>
    <w:rPr>
      <w:i w:val="1"/>
      <w:sz w:val="24"/>
    </w:rPr>
  </w:style>
  <w:style w:styleId="Style_60_ch" w:type="character">
    <w:name w:val="Название объекта Знак"/>
    <w:basedOn w:val="Style_25_ch"/>
    <w:link w:val="Style_60"/>
    <w:rPr>
      <w:i w:val="1"/>
      <w:sz w:val="24"/>
    </w:rPr>
  </w:style>
  <w:style w:styleId="Style_61" w:type="paragraph">
    <w:name w:val="Оглавление 7 Знак"/>
    <w:link w:val="Style_61_ch"/>
  </w:style>
  <w:style w:styleId="Style_61_ch" w:type="character">
    <w:name w:val="Оглавление 7 Знак"/>
    <w:link w:val="Style_61"/>
  </w:style>
  <w:style w:styleId="Style_62" w:type="paragraph">
    <w:name w:val="heading 5"/>
    <w:next w:val="Style_1"/>
    <w:link w:val="Style_62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62_ch" w:type="character">
    <w:name w:val="heading 5"/>
    <w:link w:val="Style_62"/>
    <w:rPr>
      <w:rFonts w:ascii="XO Thames" w:hAnsi="XO Thames"/>
      <w:b w:val="1"/>
      <w:color w:val="000000"/>
      <w:sz w:val="22"/>
    </w:rPr>
  </w:style>
  <w:style w:styleId="Style_63" w:type="paragraph">
    <w:name w:val="Указатель2"/>
    <w:basedOn w:val="Style_1"/>
    <w:link w:val="Style_63_ch"/>
  </w:style>
  <w:style w:styleId="Style_63_ch" w:type="character">
    <w:name w:val="Указатель2"/>
    <w:basedOn w:val="Style_1_ch"/>
    <w:link w:val="Style_63"/>
  </w:style>
  <w:style w:styleId="Style_64" w:type="paragraph">
    <w:name w:val="Основной шрифт абзаца1"/>
    <w:link w:val="Style_64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64_ch" w:type="character">
    <w:name w:val="Основной шрифт абзаца1"/>
    <w:link w:val="Style_64"/>
    <w:rPr>
      <w:rFonts w:ascii="Times New Roman" w:hAnsi="Times New Roman"/>
      <w:color w:val="000000"/>
      <w:sz w:val="20"/>
    </w:rPr>
  </w:style>
  <w:style w:styleId="Style_65" w:type="paragraph">
    <w:name w:val="List"/>
    <w:basedOn w:val="Style_2"/>
    <w:link w:val="Style_65_ch"/>
  </w:style>
  <w:style w:styleId="Style_65_ch" w:type="character">
    <w:name w:val="List"/>
    <w:basedOn w:val="Style_2_ch"/>
    <w:link w:val="Style_65"/>
  </w:style>
  <w:style w:styleId="Style_3" w:type="paragraph">
    <w:name w:val="heading 1"/>
    <w:basedOn w:val="Style_1"/>
    <w:next w:val="Style_1"/>
    <w:link w:val="Style_3_ch"/>
    <w:uiPriority w:val="9"/>
    <w:qFormat/>
    <w:pPr>
      <w:keepNext w:val="1"/>
      <w:numPr>
        <w:ilvl w:val="0"/>
        <w:numId w:val="2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3_ch" w:type="character">
    <w:name w:val="heading 1"/>
    <w:basedOn w:val="Style_1_ch"/>
    <w:link w:val="Style_3"/>
    <w:rPr>
      <w:rFonts w:ascii="Arial" w:hAnsi="Arial"/>
      <w:b w:val="1"/>
      <w:sz w:val="32"/>
    </w:rPr>
  </w:style>
  <w:style w:styleId="Style_66" w:type="paragraph">
    <w:name w:val="Оглавление 4 Знак"/>
    <w:link w:val="Style_66_ch"/>
  </w:style>
  <w:style w:styleId="Style_66_ch" w:type="character">
    <w:name w:val="Оглавление 4 Знак"/>
    <w:link w:val="Style_66"/>
  </w:style>
  <w:style w:styleId="Style_67" w:type="paragraph">
    <w:name w:val="WW8Num2z0"/>
    <w:link w:val="Style_67_ch"/>
    <w:pPr>
      <w:widowControl w:val="1"/>
      <w:spacing w:after="0" w:before="0"/>
      <w:ind/>
      <w:jc w:val="left"/>
    </w:pPr>
    <w:rPr>
      <w:rFonts w:ascii="Symbol" w:hAnsi="Symbol"/>
      <w:color w:val="000000"/>
      <w:sz w:val="20"/>
    </w:rPr>
  </w:style>
  <w:style w:styleId="Style_67_ch" w:type="character">
    <w:name w:val="WW8Num2z0"/>
    <w:link w:val="Style_67"/>
    <w:rPr>
      <w:rFonts w:ascii="Symbol" w:hAnsi="Symbol"/>
      <w:color w:val="000000"/>
      <w:sz w:val="20"/>
    </w:rPr>
  </w:style>
  <w:style w:styleId="Style_68" w:type="paragraph">
    <w:name w:val="Hyperlink"/>
    <w:link w:val="Style_68_ch"/>
    <w:rPr>
      <w:color w:val="0000FF"/>
      <w:u w:val="single"/>
    </w:rPr>
  </w:style>
  <w:style w:styleId="Style_68_ch" w:type="character">
    <w:name w:val="Hyperlink"/>
    <w:link w:val="Style_68"/>
    <w:rPr>
      <w:color w:val="0000FF"/>
      <w:u w:val="single"/>
    </w:rPr>
  </w:style>
  <w:style w:styleId="Style_69" w:type="paragraph">
    <w:name w:val="Footnote"/>
    <w:link w:val="Style_69_ch"/>
    <w:pPr>
      <w:widowControl w:val="1"/>
      <w:spacing w:after="0" w:before="0"/>
      <w:ind/>
      <w:jc w:val="left"/>
    </w:pPr>
    <w:rPr>
      <w:rFonts w:ascii="XO Thames" w:hAnsi="XO Thames"/>
      <w:color w:val="000000"/>
      <w:sz w:val="22"/>
    </w:rPr>
  </w:style>
  <w:style w:styleId="Style_69_ch" w:type="character">
    <w:name w:val="Footnote"/>
    <w:link w:val="Style_69"/>
    <w:rPr>
      <w:rFonts w:ascii="XO Thames" w:hAnsi="XO Thames"/>
      <w:color w:val="000000"/>
      <w:sz w:val="22"/>
    </w:rPr>
  </w:style>
  <w:style w:styleId="Style_70" w:type="paragraph">
    <w:name w:val="toc 1"/>
    <w:next w:val="Style_1"/>
    <w:link w:val="Style_70_ch"/>
    <w:uiPriority w:val="39"/>
    <w:pPr>
      <w:widowControl w:val="1"/>
      <w:spacing w:after="0" w:before="0"/>
      <w:ind/>
      <w:jc w:val="left"/>
    </w:pPr>
    <w:rPr>
      <w:rFonts w:ascii="XO Thames" w:hAnsi="XO Thames"/>
      <w:b w:val="1"/>
      <w:color w:val="000000"/>
      <w:sz w:val="20"/>
    </w:rPr>
  </w:style>
  <w:style w:styleId="Style_70_ch" w:type="character">
    <w:name w:val="toc 1"/>
    <w:link w:val="Style_70"/>
    <w:rPr>
      <w:rFonts w:ascii="XO Thames" w:hAnsi="XO Thames"/>
      <w:b w:val="1"/>
      <w:color w:val="000000"/>
      <w:sz w:val="20"/>
    </w:rPr>
  </w:style>
  <w:style w:styleId="Style_71" w:type="paragraph">
    <w:name w:val="Указатель"/>
    <w:basedOn w:val="Style_1"/>
    <w:link w:val="Style_71_ch"/>
  </w:style>
  <w:style w:styleId="Style_71_ch" w:type="character">
    <w:name w:val="Указатель"/>
    <w:basedOn w:val="Style_1_ch"/>
    <w:link w:val="Style_71"/>
  </w:style>
  <w:style w:styleId="Style_72" w:type="paragraph">
    <w:name w:val="Указатель1"/>
    <w:basedOn w:val="Style_25"/>
    <w:link w:val="Style_72_ch"/>
  </w:style>
  <w:style w:styleId="Style_72_ch" w:type="character">
    <w:name w:val="Указатель1"/>
    <w:basedOn w:val="Style_25_ch"/>
    <w:link w:val="Style_72"/>
  </w:style>
  <w:style w:styleId="Style_73" w:type="paragraph">
    <w:name w:val="Header and Footer"/>
    <w:link w:val="Style_73_ch"/>
    <w:rPr>
      <w:rFonts w:ascii="XO Thames" w:hAnsi="XO Thames"/>
      <w:sz w:val="20"/>
    </w:rPr>
  </w:style>
  <w:style w:styleId="Style_73_ch" w:type="character">
    <w:name w:val="Header and Footer"/>
    <w:link w:val="Style_73"/>
    <w:rPr>
      <w:rFonts w:ascii="XO Thames" w:hAnsi="XO Thames"/>
      <w:sz w:val="20"/>
    </w:rPr>
  </w:style>
  <w:style w:styleId="Style_74" w:type="paragraph">
    <w:name w:val="WW8Num1z6"/>
    <w:link w:val="Style_74_ch"/>
  </w:style>
  <w:style w:styleId="Style_74_ch" w:type="character">
    <w:name w:val="WW8Num1z6"/>
    <w:link w:val="Style_74"/>
  </w:style>
  <w:style w:styleId="Style_75" w:type="paragraph">
    <w:name w:val="Строгий1"/>
    <w:link w:val="Style_75_ch"/>
    <w:pPr>
      <w:widowControl w:val="1"/>
      <w:spacing w:after="0" w:before="0"/>
      <w:ind/>
      <w:jc w:val="left"/>
    </w:pPr>
    <w:rPr>
      <w:rFonts w:ascii="Times New Roman" w:hAnsi="Times New Roman"/>
      <w:b w:val="1"/>
      <w:color w:val="000000"/>
      <w:sz w:val="20"/>
    </w:rPr>
  </w:style>
  <w:style w:styleId="Style_75_ch" w:type="character">
    <w:name w:val="Строгий1"/>
    <w:link w:val="Style_75"/>
    <w:rPr>
      <w:rFonts w:ascii="Times New Roman" w:hAnsi="Times New Roman"/>
      <w:b w:val="1"/>
      <w:color w:val="000000"/>
      <w:sz w:val="20"/>
    </w:rPr>
  </w:style>
  <w:style w:styleId="Style_76" w:type="paragraph">
    <w:name w:val="Balloon Text"/>
    <w:basedOn w:val="Style_1"/>
    <w:link w:val="Style_76_ch"/>
    <w:rPr>
      <w:rFonts w:ascii="Tahoma" w:hAnsi="Tahoma"/>
      <w:sz w:val="16"/>
    </w:rPr>
  </w:style>
  <w:style w:styleId="Style_76_ch" w:type="character">
    <w:name w:val="Balloon Text"/>
    <w:basedOn w:val="Style_1_ch"/>
    <w:link w:val="Style_76"/>
    <w:rPr>
      <w:rFonts w:ascii="Tahoma" w:hAnsi="Tahoma"/>
      <w:sz w:val="16"/>
    </w:rPr>
  </w:style>
  <w:style w:styleId="Style_77" w:type="paragraph">
    <w:name w:val="toc 9"/>
    <w:next w:val="Style_1"/>
    <w:link w:val="Style_77_ch"/>
    <w:uiPriority w:val="39"/>
    <w:pPr>
      <w:widowControl w:val="1"/>
      <w:spacing w:after="0" w:before="0"/>
      <w:ind w:firstLine="0" w:left="1600"/>
      <w:jc w:val="left"/>
    </w:pPr>
    <w:rPr>
      <w:rFonts w:ascii="Times New Roman" w:hAnsi="Times New Roman"/>
      <w:color w:val="000000"/>
      <w:sz w:val="20"/>
    </w:rPr>
  </w:style>
  <w:style w:styleId="Style_77_ch" w:type="character">
    <w:name w:val="toc 9"/>
    <w:link w:val="Style_77"/>
    <w:rPr>
      <w:rFonts w:ascii="Times New Roman" w:hAnsi="Times New Roman"/>
      <w:color w:val="000000"/>
      <w:sz w:val="20"/>
    </w:rPr>
  </w:style>
  <w:style w:styleId="Style_7" w:type="paragraph">
    <w:name w:val="Body Text Indent"/>
    <w:basedOn w:val="Style_1"/>
    <w:link w:val="Style_7_ch"/>
    <w:pPr>
      <w:ind w:firstLine="720"/>
      <w:jc w:val="center"/>
    </w:pPr>
    <w:rPr>
      <w:sz w:val="28"/>
    </w:rPr>
  </w:style>
  <w:style w:styleId="Style_7_ch" w:type="character">
    <w:name w:val="Body Text Indent"/>
    <w:basedOn w:val="Style_1_ch"/>
    <w:link w:val="Style_7"/>
    <w:rPr>
      <w:sz w:val="28"/>
    </w:rPr>
  </w:style>
  <w:style w:styleId="Style_78" w:type="paragraph">
    <w:name w:val="Оглавление 6 Знак"/>
    <w:link w:val="Style_78_ch"/>
  </w:style>
  <w:style w:styleId="Style_78_ch" w:type="character">
    <w:name w:val="Оглавление 6 Знак"/>
    <w:link w:val="Style_78"/>
  </w:style>
  <w:style w:styleId="Style_79" w:type="paragraph">
    <w:name w:val="Нcdcdоeeeeрf0f0мececаe0e0лebebьfcfcнededыfbfbйe9e9 (тf2f2аe0e0бe1e1лebebиe8e8цf6f6аe0e0)"/>
    <w:basedOn w:val="Style_25"/>
    <w:link w:val="Style_79_ch"/>
    <w:rPr>
      <w:rFonts w:ascii="Arial" w:hAnsi="Arial"/>
      <w:color w:val="000000"/>
    </w:rPr>
  </w:style>
  <w:style w:styleId="Style_79_ch" w:type="character">
    <w:name w:val="Нcdcdоeeeeрf0f0мececаe0e0лebebьfcfcнededыfbfbйe9e9 (тf2f2аe0e0бe1e1лebebиe8e8цf6f6аe0e0)"/>
    <w:basedOn w:val="Style_25_ch"/>
    <w:link w:val="Style_79"/>
    <w:rPr>
      <w:rFonts w:ascii="Arial" w:hAnsi="Arial"/>
      <w:color w:val="000000"/>
    </w:rPr>
  </w:style>
  <w:style w:styleId="Style_80" w:type="paragraph">
    <w:name w:val="WW8Num2z6"/>
    <w:link w:val="Style_80_ch"/>
  </w:style>
  <w:style w:styleId="Style_80_ch" w:type="character">
    <w:name w:val="WW8Num2z6"/>
    <w:link w:val="Style_80"/>
  </w:style>
  <w:style w:styleId="Style_81" w:type="paragraph">
    <w:name w:val="WW8Num2z4"/>
    <w:link w:val="Style_8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81_ch" w:type="character">
    <w:name w:val="WW8Num2z4"/>
    <w:link w:val="Style_81"/>
    <w:rPr>
      <w:rFonts w:ascii="Times New Roman" w:hAnsi="Times New Roman"/>
      <w:color w:val="000000"/>
      <w:sz w:val="20"/>
    </w:rPr>
  </w:style>
  <w:style w:styleId="Style_82" w:type="paragraph">
    <w:name w:val="WW8Num2z2"/>
    <w:link w:val="Style_82_ch"/>
  </w:style>
  <w:style w:styleId="Style_82_ch" w:type="character">
    <w:name w:val="WW8Num2z2"/>
    <w:link w:val="Style_82"/>
  </w:style>
  <w:style w:styleId="Style_83" w:type="paragraph">
    <w:name w:val="Оглавление 8 Знак"/>
    <w:link w:val="Style_83_ch"/>
  </w:style>
  <w:style w:styleId="Style_83_ch" w:type="character">
    <w:name w:val="Оглавление 8 Знак"/>
    <w:link w:val="Style_83"/>
  </w:style>
  <w:style w:styleId="Style_84" w:type="paragraph">
    <w:name w:val="Основной шрифт абзаца1"/>
    <w:link w:val="Style_84_ch"/>
  </w:style>
  <w:style w:styleId="Style_84_ch" w:type="character">
    <w:name w:val="Основной шрифт абзаца1"/>
    <w:link w:val="Style_84"/>
  </w:style>
  <w:style w:styleId="Style_85" w:type="paragraph">
    <w:name w:val="toc 8"/>
    <w:next w:val="Style_1"/>
    <w:link w:val="Style_85_ch"/>
    <w:uiPriority w:val="39"/>
    <w:pPr>
      <w:widowControl w:val="1"/>
      <w:spacing w:after="0" w:before="0"/>
      <w:ind w:firstLine="0" w:left="1400"/>
      <w:jc w:val="left"/>
    </w:pPr>
    <w:rPr>
      <w:rFonts w:ascii="Times New Roman" w:hAnsi="Times New Roman"/>
      <w:color w:val="000000"/>
      <w:sz w:val="20"/>
    </w:rPr>
  </w:style>
  <w:style w:styleId="Style_85_ch" w:type="character">
    <w:name w:val="toc 8"/>
    <w:link w:val="Style_85"/>
    <w:rPr>
      <w:rFonts w:ascii="Times New Roman" w:hAnsi="Times New Roman"/>
      <w:color w:val="000000"/>
      <w:sz w:val="20"/>
    </w:rPr>
  </w:style>
  <w:style w:styleId="Style_86" w:type="paragraph">
    <w:name w:val="WW8Num1z0"/>
    <w:link w:val="Style_86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86_ch" w:type="character">
    <w:name w:val="WW8Num1z0"/>
    <w:link w:val="Style_86"/>
    <w:rPr>
      <w:rFonts w:ascii="Times New Roman" w:hAnsi="Times New Roman"/>
      <w:color w:val="000000"/>
      <w:sz w:val="20"/>
    </w:rPr>
  </w:style>
  <w:style w:styleId="Style_87" w:type="paragraph">
    <w:name w:val="toc 5"/>
    <w:next w:val="Style_1"/>
    <w:link w:val="Style_87_ch"/>
    <w:uiPriority w:val="39"/>
    <w:pPr>
      <w:widowControl w:val="1"/>
      <w:spacing w:after="0" w:before="0"/>
      <w:ind w:firstLine="0" w:left="800"/>
      <w:jc w:val="left"/>
    </w:pPr>
    <w:rPr>
      <w:rFonts w:ascii="Times New Roman" w:hAnsi="Times New Roman"/>
      <w:color w:val="000000"/>
      <w:sz w:val="20"/>
    </w:rPr>
  </w:style>
  <w:style w:styleId="Style_87_ch" w:type="character">
    <w:name w:val="toc 5"/>
    <w:link w:val="Style_87"/>
    <w:rPr>
      <w:rFonts w:ascii="Times New Roman" w:hAnsi="Times New Roman"/>
      <w:color w:val="000000"/>
      <w:sz w:val="20"/>
    </w:rPr>
  </w:style>
  <w:style w:styleId="Style_88" w:type="paragraph">
    <w:name w:val="WW8Num2z7"/>
    <w:link w:val="Style_88_ch"/>
  </w:style>
  <w:style w:styleId="Style_88_ch" w:type="character">
    <w:name w:val="WW8Num2z7"/>
    <w:link w:val="Style_88"/>
  </w:style>
  <w:style w:styleId="Style_89" w:type="paragraph">
    <w:name w:val="WW8Num1z2"/>
    <w:link w:val="Style_89_ch"/>
  </w:style>
  <w:style w:styleId="Style_89_ch" w:type="character">
    <w:name w:val="WW8Num1z2"/>
    <w:link w:val="Style_89"/>
  </w:style>
  <w:style w:styleId="Style_90" w:type="paragraph">
    <w:name w:val="WW8Num2z5"/>
    <w:link w:val="Style_90_ch"/>
  </w:style>
  <w:style w:styleId="Style_90_ch" w:type="character">
    <w:name w:val="WW8Num2z5"/>
    <w:link w:val="Style_90"/>
  </w:style>
  <w:style w:styleId="Style_91" w:type="paragraph">
    <w:name w:val="Основной текст с отступом Знак"/>
    <w:basedOn w:val="Style_25"/>
    <w:link w:val="Style_91_ch"/>
    <w:rPr>
      <w:sz w:val="28"/>
    </w:rPr>
  </w:style>
  <w:style w:styleId="Style_91_ch" w:type="character">
    <w:name w:val="Основной текст с отступом Знак"/>
    <w:basedOn w:val="Style_25_ch"/>
    <w:link w:val="Style_91"/>
    <w:rPr>
      <w:sz w:val="28"/>
    </w:rPr>
  </w:style>
  <w:style w:styleId="Style_9" w:type="paragraph">
    <w:name w:val="П3fcfр3ff0и3fe8ж3fe6а3fe0т3ff2ы3ffbй3fe9 в3fe2л3febе3fe5в3fe2о3fee"/>
    <w:basedOn w:val="Style_1"/>
    <w:link w:val="Style_9_ch"/>
    <w:pPr>
      <w:widowControl w:val="0"/>
      <w:ind/>
    </w:pPr>
    <w:rPr>
      <w:rFonts w:ascii="Arial" w:hAnsi="Arial"/>
    </w:rPr>
  </w:style>
  <w:style w:styleId="Style_9_ch" w:type="character">
    <w:name w:val="П3fcfр3ff0и3fe8ж3fe6а3fe0т3ff2ы3ffbй3fe9 в3fe2л3febе3fe5в3fe2о3fee"/>
    <w:basedOn w:val="Style_1_ch"/>
    <w:link w:val="Style_9"/>
    <w:rPr>
      <w:rFonts w:ascii="Arial" w:hAnsi="Arial"/>
    </w:rPr>
  </w:style>
  <w:style w:styleId="Style_92" w:type="paragraph">
    <w:name w:val="Заголовок таблицы"/>
    <w:basedOn w:val="Style_4"/>
    <w:link w:val="Style_92_ch"/>
    <w:pPr>
      <w:ind/>
      <w:jc w:val="center"/>
    </w:pPr>
    <w:rPr>
      <w:b w:val="1"/>
    </w:rPr>
  </w:style>
  <w:style w:styleId="Style_92_ch" w:type="character">
    <w:name w:val="Заголовок таблицы"/>
    <w:basedOn w:val="Style_4_ch"/>
    <w:link w:val="Style_92"/>
    <w:rPr>
      <w:b w:val="1"/>
    </w:rPr>
  </w:style>
  <w:style w:styleId="Style_93" w:type="paragraph">
    <w:name w:val="WW8Num2z1"/>
    <w:link w:val="Style_93_ch"/>
  </w:style>
  <w:style w:styleId="Style_93_ch" w:type="character">
    <w:name w:val="WW8Num2z1"/>
    <w:link w:val="Style_93"/>
  </w:style>
  <w:style w:styleId="Style_94" w:type="paragraph">
    <w:name w:val="WW8Num2z4"/>
    <w:link w:val="Style_94_ch"/>
  </w:style>
  <w:style w:styleId="Style_94_ch" w:type="character">
    <w:name w:val="WW8Num2z4"/>
    <w:link w:val="Style_94"/>
  </w:style>
  <w:style w:styleId="Style_95" w:type="paragraph">
    <w:name w:val="Оглавление 2 Знак"/>
    <w:link w:val="Style_95_ch"/>
  </w:style>
  <w:style w:styleId="Style_95_ch" w:type="character">
    <w:name w:val="Оглавление 2 Знак"/>
    <w:link w:val="Style_95"/>
  </w:style>
  <w:style w:styleId="Style_10" w:type="paragraph">
    <w:name w:val="Нcdcdоeeeeрf0f0мececаe0e0лebebьfcfcнededыfbfbйe9e9 (тf2f2аe0e0бe1e1лebebиe8e8цf6f6аe0e0)"/>
    <w:basedOn w:val="Style_1"/>
    <w:link w:val="Style_10_ch"/>
    <w:pPr>
      <w:widowControl w:val="0"/>
      <w:ind/>
    </w:pPr>
    <w:rPr>
      <w:rFonts w:ascii="Arial" w:hAnsi="Arial"/>
    </w:rPr>
  </w:style>
  <w:style w:styleId="Style_10_ch" w:type="character">
    <w:name w:val="Нcdcdоeeeeрf0f0мececаe0e0лebebьfcfcнededыfbfbйe9e9 (тf2f2аe0e0бe1e1лebebиe8e8цf6f6аe0e0)"/>
    <w:basedOn w:val="Style_1_ch"/>
    <w:link w:val="Style_10"/>
    <w:rPr>
      <w:rFonts w:ascii="Arial" w:hAnsi="Arial"/>
    </w:rPr>
  </w:style>
  <w:style w:styleId="Style_96" w:type="paragraph">
    <w:name w:val="Subtitle"/>
    <w:next w:val="Style_1"/>
    <w:link w:val="Style_96_ch"/>
    <w:uiPriority w:val="11"/>
    <w:qFormat/>
    <w:pPr>
      <w:widowControl w:val="1"/>
      <w:spacing w:after="0" w:before="0"/>
      <w:ind/>
      <w:jc w:val="left"/>
    </w:pPr>
    <w:rPr>
      <w:rFonts w:ascii="XO Thames" w:hAnsi="XO Thames"/>
      <w:i w:val="1"/>
      <w:color w:val="616161"/>
      <w:sz w:val="24"/>
    </w:rPr>
  </w:style>
  <w:style w:styleId="Style_96_ch" w:type="character">
    <w:name w:val="Subtitle"/>
    <w:link w:val="Style_96"/>
    <w:rPr>
      <w:rFonts w:ascii="XO Thames" w:hAnsi="XO Thames"/>
      <w:i w:val="1"/>
      <w:color w:val="616161"/>
      <w:sz w:val="24"/>
    </w:rPr>
  </w:style>
  <w:style w:styleId="Style_97" w:type="paragraph">
    <w:name w:val="toc 10"/>
    <w:next w:val="Style_1"/>
    <w:link w:val="Style_97_ch"/>
    <w:uiPriority w:val="39"/>
    <w:pPr>
      <w:widowControl w:val="1"/>
      <w:spacing w:after="0" w:before="0"/>
      <w:ind w:firstLine="0" w:left="1800"/>
      <w:jc w:val="left"/>
    </w:pPr>
    <w:rPr>
      <w:rFonts w:ascii="Times New Roman" w:hAnsi="Times New Roman"/>
      <w:color w:val="000000"/>
      <w:sz w:val="20"/>
    </w:rPr>
  </w:style>
  <w:style w:styleId="Style_97_ch" w:type="character">
    <w:name w:val="toc 10"/>
    <w:link w:val="Style_97"/>
    <w:rPr>
      <w:rFonts w:ascii="Times New Roman" w:hAnsi="Times New Roman"/>
      <w:color w:val="000000"/>
      <w:sz w:val="20"/>
    </w:rPr>
  </w:style>
  <w:style w:styleId="Style_98" w:type="paragraph">
    <w:name w:val="WW8Num1z4"/>
    <w:link w:val="Style_9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8_ch" w:type="character">
    <w:name w:val="WW8Num1z4"/>
    <w:link w:val="Style_98"/>
    <w:rPr>
      <w:rFonts w:ascii="Times New Roman" w:hAnsi="Times New Roman"/>
      <w:color w:val="000000"/>
      <w:sz w:val="20"/>
    </w:rPr>
  </w:style>
  <w:style w:styleId="Style_99" w:type="paragraph">
    <w:name w:val="WW8Num2z3"/>
    <w:link w:val="Style_99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99_ch" w:type="character">
    <w:name w:val="WW8Num2z3"/>
    <w:link w:val="Style_99"/>
    <w:rPr>
      <w:rFonts w:ascii="Times New Roman" w:hAnsi="Times New Roman"/>
      <w:color w:val="000000"/>
      <w:sz w:val="20"/>
    </w:rPr>
  </w:style>
  <w:style w:styleId="Style_100" w:type="paragraph">
    <w:name w:val="toc 10"/>
    <w:link w:val="Style_100_ch"/>
  </w:style>
  <w:style w:styleId="Style_100_ch" w:type="character">
    <w:name w:val="toc 10"/>
    <w:link w:val="Style_100"/>
  </w:style>
  <w:style w:styleId="Style_101" w:type="paragraph">
    <w:name w:val="Title"/>
    <w:next w:val="Style_1"/>
    <w:link w:val="Style_101_ch"/>
    <w:uiPriority w:val="10"/>
    <w:qFormat/>
    <w:pPr>
      <w:widowControl w:val="1"/>
      <w:spacing w:after="0" w:before="0"/>
      <w:ind/>
      <w:jc w:val="left"/>
    </w:pPr>
    <w:rPr>
      <w:rFonts w:ascii="XO Thames" w:hAnsi="XO Thames"/>
      <w:b w:val="1"/>
      <w:color w:val="000000"/>
      <w:sz w:val="52"/>
    </w:rPr>
  </w:style>
  <w:style w:styleId="Style_101_ch" w:type="character">
    <w:name w:val="Title"/>
    <w:link w:val="Style_101"/>
    <w:rPr>
      <w:rFonts w:ascii="XO Thames" w:hAnsi="XO Thames"/>
      <w:b w:val="1"/>
      <w:color w:val="000000"/>
      <w:sz w:val="52"/>
    </w:rPr>
  </w:style>
  <w:style w:styleId="Style_102" w:type="paragraph">
    <w:name w:val="heading 4"/>
    <w:next w:val="Style_1"/>
    <w:link w:val="Style_102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102_ch" w:type="character">
    <w:name w:val="heading 4"/>
    <w:link w:val="Style_102"/>
    <w:rPr>
      <w:rFonts w:ascii="XO Thames" w:hAnsi="XO Thames"/>
      <w:b w:val="1"/>
      <w:color w:val="595959"/>
      <w:sz w:val="26"/>
    </w:rPr>
  </w:style>
  <w:style w:styleId="Style_103" w:type="paragraph">
    <w:name w:val="Список Знак"/>
    <w:basedOn w:val="Style_47"/>
    <w:link w:val="Style_103_ch"/>
  </w:style>
  <w:style w:styleId="Style_103_ch" w:type="character">
    <w:name w:val="Список Знак"/>
    <w:basedOn w:val="Style_47_ch"/>
    <w:link w:val="Style_103"/>
  </w:style>
  <w:style w:styleId="Style_104" w:type="paragraph">
    <w:name w:val="Текст выноски Знак"/>
    <w:basedOn w:val="Style_37"/>
    <w:link w:val="Style_104_ch"/>
    <w:rPr>
      <w:rFonts w:ascii="Tahoma" w:hAnsi="Tahoma"/>
      <w:sz w:val="16"/>
    </w:rPr>
  </w:style>
  <w:style w:styleId="Style_104_ch" w:type="character">
    <w:name w:val="Текст выноски Знак"/>
    <w:basedOn w:val="Style_37_ch"/>
    <w:link w:val="Style_104"/>
    <w:rPr>
      <w:rFonts w:ascii="Tahoma" w:hAnsi="Tahoma"/>
      <w:sz w:val="16"/>
    </w:rPr>
  </w:style>
  <w:style w:styleId="Style_6" w:type="paragraph">
    <w:name w:val="HTML Preformatted"/>
    <w:basedOn w:val="Style_1"/>
    <w:link w:val="Style_6_ch"/>
    <w:pPr>
      <w:tabs>
        <w:tab w:leader="none" w:pos="709" w:val="clear"/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6_ch" w:type="character">
    <w:name w:val="HTML Preformatted"/>
    <w:basedOn w:val="Style_1_ch"/>
    <w:link w:val="Style_6"/>
    <w:rPr>
      <w:rFonts w:ascii="Courier New" w:hAnsi="Courier New"/>
      <w:sz w:val="20"/>
    </w:rPr>
  </w:style>
  <w:style w:styleId="Style_105" w:type="paragraph">
    <w:name w:val="WW8Num2z8"/>
    <w:link w:val="Style_105_ch"/>
  </w:style>
  <w:style w:styleId="Style_105_ch" w:type="character">
    <w:name w:val="WW8Num2z8"/>
    <w:link w:val="Style_105"/>
  </w:style>
  <w:style w:styleId="Style_106" w:type="paragraph">
    <w:name w:val="heading 2"/>
    <w:next w:val="Style_1"/>
    <w:link w:val="Style_106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06_ch" w:type="character">
    <w:name w:val="heading 2"/>
    <w:link w:val="Style_106"/>
    <w:rPr>
      <w:rFonts w:ascii="XO Thames" w:hAnsi="XO Thames"/>
      <w:b w:val="1"/>
      <w:color w:val="00A0FF"/>
      <w:sz w:val="26"/>
    </w:rPr>
  </w:style>
  <w:style w:styleId="Style_107" w:type="paragraph">
    <w:name w:val="WW8Num1z7"/>
    <w:link w:val="Style_107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07_ch" w:type="character">
    <w:name w:val="WW8Num1z7"/>
    <w:link w:val="Style_107"/>
    <w:rPr>
      <w:rFonts w:ascii="Times New Roman" w:hAnsi="Times New Roman"/>
      <w:color w:val="000000"/>
      <w:sz w:val="20"/>
    </w:rPr>
  </w:style>
  <w:style w:styleId="Style_108" w:type="paragraph">
    <w:name w:val="WW8Num2z1"/>
    <w:link w:val="Style_108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08_ch" w:type="character">
    <w:name w:val="WW8Num2z1"/>
    <w:link w:val="Style_108"/>
    <w:rPr>
      <w:rFonts w:ascii="Times New Roman" w:hAnsi="Times New Roman"/>
      <w:color w:val="000000"/>
      <w:sz w:val="20"/>
    </w:rPr>
  </w:style>
  <w:style w:styleId="Style_109" w:type="paragraph">
    <w:name w:val="WW8Num1z3"/>
    <w:link w:val="Style_109_ch"/>
  </w:style>
  <w:style w:styleId="Style_109_ch" w:type="character">
    <w:name w:val="WW8Num1z3"/>
    <w:link w:val="Style_109"/>
  </w:style>
  <w:style w:styleId="Style_110" w:type="paragraph">
    <w:name w:val="Гиперссылка1"/>
    <w:link w:val="Style_110_ch"/>
    <w:pPr>
      <w:widowControl w:val="1"/>
      <w:spacing w:after="0" w:before="0"/>
      <w:ind/>
      <w:jc w:val="left"/>
    </w:pPr>
    <w:rPr>
      <w:rFonts w:ascii="Times New Roman" w:hAnsi="Times New Roman"/>
      <w:color w:val="0000FF"/>
      <w:sz w:val="20"/>
      <w:u w:val="single"/>
    </w:rPr>
  </w:style>
  <w:style w:styleId="Style_110_ch" w:type="character">
    <w:name w:val="Гиперссылка1"/>
    <w:link w:val="Style_110"/>
    <w:rPr>
      <w:rFonts w:ascii="Times New Roman" w:hAnsi="Times New Roman"/>
      <w:color w:val="0000FF"/>
      <w:sz w:val="20"/>
      <w:u w:val="single"/>
    </w:rPr>
  </w:style>
  <w:style w:styleId="Style_111" w:type="paragraph">
    <w:name w:val="Основной шрифт абзаца2"/>
    <w:link w:val="Style_111_ch"/>
    <w:pPr>
      <w:widowControl w:val="1"/>
      <w:spacing w:after="0" w:before="0"/>
      <w:ind/>
      <w:jc w:val="left"/>
    </w:pPr>
    <w:rPr>
      <w:rFonts w:ascii="Times New Roman" w:hAnsi="Times New Roman"/>
      <w:color w:val="000000"/>
      <w:sz w:val="20"/>
    </w:rPr>
  </w:style>
  <w:style w:styleId="Style_111_ch" w:type="character">
    <w:name w:val="Основной шрифт абзаца2"/>
    <w:link w:val="Style_111"/>
    <w:rPr>
      <w:rFonts w:ascii="Times New Roman" w:hAnsi="Times New Roman"/>
      <w:color w:val="000000"/>
      <w:sz w:val="20"/>
    </w:rPr>
  </w:style>
  <w:style w:default="1" w:styleId="Style_5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2021-02-15T11:43:59Z</dcterms:modified>
</cp:coreProperties>
</file>